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pPr>
      <w:r>
        <w:rPr>
          <w:rFonts w:ascii="Times New Roman;serif" w:hAnsi="Times New Roman;serif"/>
          <w:b/>
          <w:color w:val="000000"/>
          <w:sz w:val="20"/>
        </w:rPr>
        <w:t>Date of Report (Date of Earliest Event Reported): </w:t>
      </w:r>
      <w:r>
        <w:rPr>
          <w:rFonts w:ascii="Times New Roman;serif" w:hAnsi="Times New Roman;serif"/>
          <w:b w:val="false"/>
          <w:color w:val="000000"/>
          <w:sz w:val="20"/>
        </w:rPr>
        <w:t>March 5,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001-38543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jc w:val="center"/>
        <w:rPr/>
      </w:pPr>
      <w:r>
        <w:rPr>
          <w:rFonts w:ascii="Times New Roman;serif" w:hAnsi="Times New Roman;serif"/>
          <w:b/>
          <w:color w:val="000000"/>
          <w:sz w:val="20"/>
        </w:rPr>
        <w:t>260 Charles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Suite 302</w:t>
      </w:r>
    </w:p>
    <w:p>
      <w:pPr>
        <w:pStyle w:val="TextBody"/>
        <w:bidi w:val="0"/>
        <w:spacing w:lineRule="auto" w:line="288" w:before="0" w:after="0"/>
        <w:jc w:val="center"/>
        <w:rPr/>
      </w:pPr>
      <w:r>
        <w:rPr>
          <w:rFonts w:ascii="Times New Roman;serif" w:hAnsi="Times New Roman;serif"/>
          <w:b/>
          <w:color w:val="000000"/>
          <w:sz w:val="20"/>
          <w:u w:val="single"/>
        </w:rPr>
        <w:t>Waltham</w:t>
      </w:r>
      <w:r>
        <w:rPr>
          <w:rFonts w:ascii="Times New Roman;serif" w:hAnsi="Times New Roman;serif"/>
          <w:b/>
          <w:color w:val="000000"/>
          <w:sz w:val="20"/>
        </w:rPr>
        <w:t>,</w:t>
      </w:r>
      <w:r>
        <w:rPr>
          <w:color w:val="000000"/>
          <w:u w:val="single"/>
        </w:rPr>
        <w:t xml:space="preserve"> </w:t>
      </w:r>
      <w:r>
        <w:rPr>
          <w:rFonts w:ascii="Times New Roman;serif" w:hAnsi="Times New Roman;serif"/>
          <w:b/>
          <w:color w:val="000000"/>
          <w:sz w:val="20"/>
          <w:u w:val="single"/>
        </w:rPr>
        <w:t>MA 02453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248.651.6568</w:t>
      </w:r>
    </w:p>
    <w:p>
      <w:pPr>
        <w:pStyle w:val="TextBody"/>
        <w:bidi w:val="0"/>
        <w:spacing w:lineRule="auto" w:line="288" w:before="200" w:after="283"/>
        <w:jc w:val="center"/>
        <w:rPr>
          <w:color w:val="000000"/>
          <w:u w:val="single"/>
        </w:rPr>
      </w:pPr>
      <w:r>
        <w:rPr>
          <w:color w:val="000000"/>
          <w:u w:val="single"/>
        </w:rPr>
        <w:t>                           </w:t>
      </w:r>
      <w:r>
        <w:rPr>
          <w:rFonts w:ascii="Times New Roman;serif" w:hAnsi="Times New Roman;serif"/>
          <w:b/>
          <w:color w:val="000000"/>
          <w:sz w:val="20"/>
          <w:u w:val="single"/>
        </w:rPr>
        <w:t>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1035"/>
        <w:gridCol w:w="909"/>
        <w:gridCol w:w="920"/>
        <w:gridCol w:w="109"/>
        <w:gridCol w:w="109"/>
        <w:gridCol w:w="109"/>
        <w:gridCol w:w="314"/>
        <w:gridCol w:w="314"/>
        <w:gridCol w:w="316"/>
        <w:gridCol w:w="109"/>
        <w:gridCol w:w="109"/>
        <w:gridCol w:w="109"/>
        <w:gridCol w:w="1118"/>
        <w:gridCol w:w="1118"/>
        <w:gridCol w:w="1589"/>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83"/>
        <w:jc w:val="both"/>
        <w:rPr/>
      </w:pPr>
      <w:r>
        <w:rPr>
          <w:rFonts w:ascii="Times New Roman;serif" w:hAnsi="Times New Roman;serif"/>
          <w:b w:val="false"/>
          <w:color w:val="000000"/>
          <w:sz w:val="20"/>
        </w:rPr>
        <w:t xml:space="preserve">On March 2, 2026, OptimizeRx Corporation </w:t>
      </w: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entered into Amendment No. 4 to the Financing Agreement (the “Amendment No. 4”). The purpose of Amendment No. 4 was to: (i) extend the maturity date of the financing agreement by two years to October 11, 2029, (ii) permit the Company to repurchase shares of its common stock in one or more transactions prior to March 15, 2027, in an aggregate amount not to exceed $10 million, and (iii) extend the period during which a 1% applicable premium applies under the financing agreement through October 11,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pPr>
      <w:r>
        <w:rPr>
          <w:rFonts w:ascii="Times New Roman;serif" w:hAnsi="Times New Roman;serif"/>
          <w:b w:val="false"/>
          <w:color w:val="000000"/>
          <w:sz w:val="20"/>
        </w:rPr>
        <w:t xml:space="preserve">On March 5, 2026, </w:t>
      </w: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issued a press release announcing its financial results for the fourth quarter and full year ended December 31, 2025, providing key performance indicators, updated 2026 guidance and announcing a new $10 million share repurchase program. A copy of the press release is furnished with this Current Report on Form 8-K as Exhibit 99.1 and is incorporated herein by reference.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lineRule="auto" w:line="288" w:before="240" w:after="283"/>
        <w:jc w:val="both"/>
        <w:rPr/>
      </w:pPr>
      <w:r>
        <w:rPr>
          <w:rFonts w:ascii="Times New Roman;serif" w:hAnsi="Times New Roman;serif"/>
          <w:b/>
          <w:color w:val="000000"/>
          <w:sz w:val="20"/>
        </w:rPr>
        <w:t>Item 8.01</w:t>
      </w:r>
      <w:r>
        <w:rPr>
          <w:color w:val="000000"/>
        </w:rPr>
        <w:t xml:space="preserve"> </w:t>
      </w:r>
      <w:r>
        <w:rPr>
          <w:rFonts w:ascii="Times New Roman;serif" w:hAnsi="Times New Roman;serif"/>
          <w:b/>
          <w:color w:val="000000"/>
          <w:sz w:val="20"/>
        </w:rPr>
        <w:t>Other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announced that its Board of Directors authorized the repurchase of up to $10 million of the Company’s outstanding common stock. Under this new program, share repurchases may be made from time to time depending on market conditions, share price, share availability, and other factors at the Company’s discretion. This share repurchase authorization is effective March 12, 2026, and expires on the earlier of March 15, 2027, or when the repurchase of $10 million of shares has been reached.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of Directors may modify, suspend, extend or terminate the repurchase program at any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made pursuant to the safe harbor provisions of the Private Securities Litigation Reform Act of 1995, including forward-looking statements regarding the share repurchase program. These statements are neither promises or guarantees and involve risks and uncertainties that could cause actual results to differ materially from those stated or implied by the forward-looking statements, including, without limitation, risks relating to the Company’s ability to implement and make appropriate, timely and beneficial decisions as to when, how and if to purchase shares under the share repurchase program; and other risks described in the Company’s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737"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45"/>
        <w:gridCol w:w="1945"/>
        <w:gridCol w:w="27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pPr>
            <w:hyperlink w:anchor="oprxq42025earningsrelease.htm">
              <w:r>
                <w:rPr>
                  <w:rStyle w:val="InternetLink"/>
                  <w:rFonts w:ascii="Times New Roman;serif" w:hAnsi="Times New Roman;serif"/>
                  <w:b w:val="false"/>
                  <w:color w:val="551A8B"/>
                  <w:sz w:val="20"/>
                  <w:u w:val="single"/>
                </w:rPr>
                <w:t>Press release, dated March 5, 2026</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62" w:type="dxa"/>
        <w:jc w:val="left"/>
        <w:tblInd w:w="0" w:type="dxa"/>
        <w:tblLayout w:type="fixed"/>
        <w:tblCellMar>
          <w:top w:w="28" w:type="dxa"/>
          <w:left w:w="28" w:type="dxa"/>
          <w:bottom w:w="28" w:type="dxa"/>
          <w:right w:w="28" w:type="dxa"/>
        </w:tblCellMar>
      </w:tblPr>
      <w:tblGrid>
        <w:gridCol w:w="645"/>
        <w:gridCol w:w="568"/>
        <w:gridCol w:w="571"/>
        <w:gridCol w:w="309"/>
        <w:gridCol w:w="309"/>
        <w:gridCol w:w="309"/>
        <w:gridCol w:w="309"/>
        <w:gridCol w:w="309"/>
        <w:gridCol w:w="309"/>
        <w:gridCol w:w="847"/>
        <w:gridCol w:w="847"/>
        <w:gridCol w:w="123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45745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57450" cy="476250"/>
                    </a:xfrm>
                    <a:prstGeom prst="rect">
                      <a:avLst/>
                    </a:prstGeom>
                  </pic:spPr>
                </pic:pic>
              </a:graphicData>
            </a:graphic>
          </wp:inline>
        </w:drawing>
      </w:r>
    </w:p>
    <w:p>
      <w:pPr>
        <w:pStyle w:val="TextBody"/>
        <w:bidi w:val="0"/>
        <w:spacing w:lineRule="auto" w:line="288" w:before="240" w:after="283"/>
        <w:jc w:val="center"/>
        <w:rPr/>
      </w:pPr>
      <w:r>
        <w:rPr>
          <w:rFonts w:ascii="Times New Roman;serif" w:hAnsi="Times New Roman;serif"/>
          <w:b w:val="false"/>
          <w:color w:val="000000"/>
          <w:sz w:val="20"/>
          <w:shd w:fill="FFFFFF" w:val="clear"/>
        </w:rPr>
        <w:br/>
      </w:r>
      <w:r>
        <w:rPr>
          <w:rFonts w:ascii="Times New Roman;serif" w:hAnsi="Times New Roman;serif"/>
          <w:b/>
          <w:color w:val="000000"/>
          <w:sz w:val="20"/>
          <w:shd w:fill="FFFFFF" w:val="clear"/>
        </w:rPr>
        <w:t>OptimizeRx Reports Strong Fourth Qu</w:t>
      </w:r>
      <w:r>
        <w:rPr>
          <w:rFonts w:ascii="Times New Roman;serif" w:hAnsi="Times New Roman;serif"/>
          <w:b/>
          <w:color w:val="000000"/>
          <w:sz w:val="20"/>
        </w:rPr>
        <w:t>arter and Full Year 2025 Financial Results</w:t>
      </w:r>
    </w:p>
    <w:p>
      <w:pPr>
        <w:pStyle w:val="TextBody"/>
        <w:bidi w:val="0"/>
        <w:spacing w:lineRule="auto" w:line="288" w:before="240" w:after="283"/>
        <w:ind w:left="0" w:right="0" w:hanging="270"/>
        <w:jc w:val="center"/>
        <w:rPr/>
      </w:pPr>
      <w:r>
        <w:rPr>
          <w:rFonts w:ascii="Times New Roman;serif" w:hAnsi="Times New Roman;serif"/>
          <w:b/>
          <w:color w:val="000000"/>
          <w:sz w:val="20"/>
        </w:rPr>
        <w:t>-</w:t>
      </w:r>
      <w:r>
        <w:rPr>
          <w:rFonts w:ascii="Times New Roman;serif" w:hAnsi="Times New Roman;serif"/>
          <w:b w:val="false"/>
          <w:color w:val="000000"/>
          <w:sz w:val="20"/>
        </w:rPr>
        <w:t>Q4 revenue of $32.2 million</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-Q4 gross profit increased 9% year-over-year to $24.1 million</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-Q4 net income and adjusted EBITDA hit records at $5.0 million and $12.0 million, respectively</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-Updating 2026 revenue guidance to $109-$114 million and adjusted EBITDA guidance to $21-$25 million</w:t>
      </w:r>
    </w:p>
    <w:p>
      <w:pPr>
        <w:pStyle w:val="TextBody"/>
        <w:bidi w:val="0"/>
        <w:spacing w:lineRule="auto" w:line="288" w:before="0" w:after="0"/>
        <w:ind w:left="0" w:right="0" w:hanging="270"/>
        <w:jc w:val="center"/>
        <w:rPr/>
      </w:pPr>
      <w:r>
        <w:rPr>
          <w:rFonts w:ascii="Arial;sans-serif" w:hAnsi="Arial;sans-serif"/>
          <w:b w:val="false"/>
          <w:color w:val="000000"/>
          <w:sz w:val="20"/>
        </w:rPr>
        <w:t>-</w:t>
      </w:r>
      <w:r>
        <w:rPr>
          <w:color w:val="000000"/>
        </w:rPr>
        <w:t xml:space="preserve"> </w:t>
      </w:r>
      <w:r>
        <w:rPr>
          <w:rFonts w:ascii="Times New Roman;serif" w:hAnsi="Times New Roman;serif"/>
          <w:b w:val="false"/>
          <w:color w:val="000000"/>
          <w:sz w:val="20"/>
        </w:rPr>
        <w:t>Paid off an incremental $2 million in principal from term loan during Q4</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-OptimizeRx's Board authorizes a $10 million share repurchase program</w:t>
      </w:r>
    </w:p>
    <w:p>
      <w:pPr>
        <w:pStyle w:val="TextBody"/>
        <w:bidi w:val="0"/>
        <w:spacing w:lineRule="auto" w:line="288" w:before="240" w:after="283"/>
        <w:jc w:val="both"/>
        <w:rPr/>
      </w:pPr>
      <w:r>
        <w:rPr>
          <w:rFonts w:ascii="Times New Roman;serif" w:hAnsi="Times New Roman;serif"/>
          <w:b/>
          <w:color w:val="000000"/>
          <w:sz w:val="20"/>
        </w:rPr>
        <w:t>WALTHAM, MA. – March 5, 2026 –</w:t>
      </w:r>
      <w:r>
        <w:rPr>
          <w:color w:val="000000"/>
        </w:rPr>
        <w:t xml:space="preserve"> </w:t>
      </w:r>
      <w:r>
        <w:rPr>
          <w:rFonts w:ascii="Times New Roman;serif" w:hAnsi="Times New Roman;serif"/>
          <w:b w:val="false"/>
          <w:color w:val="000000"/>
          <w:sz w:val="20"/>
          <w:shd w:fill="FFFFFF" w:val="clear"/>
        </w:rPr>
        <w:t>OptimizeRx Corp. (the “Company”) (Nasdaq: OPRX), a leading provider of healthcare technology solutions helping life sciences companies reach and engage healthcare professionals (HCPs) and patients, today announced results for the fourth quarter and full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shd w:fill="FFFFFF" w:val="clear"/>
        </w:rPr>
        <w:t>Finan</w:t>
      </w:r>
      <w:r>
        <w:rPr>
          <w:rFonts w:ascii="Times New Roman;serif" w:hAnsi="Times New Roman;serif"/>
          <w:b/>
          <w:color w:val="000000"/>
          <w:sz w:val="20"/>
        </w:rPr>
        <w:t>cial Highlights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Revenue in the fourth quarter of 2025 remained consistent at $32.2 million when compared to $32.3 million in the same period of 2024. Full year revenue for 2025 came in at $109.4 million, a 19% increase, when compared to $92.1 million in the same year-ago period.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 xml:space="preserve">Gross profit in the fourth quarter of 2025 increased 9% year-over-year to $24.1 million from $22.0 million in the same period of 2024. Gross profit for the full year of 2025 was $73.6 million an increase from $59.4 million in the same year-ago period.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 xml:space="preserve">GAAP net income in the fourth quarter of 2025 totaled $5.0 million, or $0.26 per diluted share, compared to net loss of $(0.1) million, or $0.00 per diluted share, in the same period of 2024. GAAP net income for the full year of 2025 totaled $5.1 million, or $0.27 per diluted share, compared to net loss of $(20.1) million, or $(1.10) per diluted share, in the same year-ago period.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Non-GAAP net income in the fourth quarter of 2025 totaled $9.9 million, or $0.51 per diluted share, compared to $5.5 million, or $0.30 per diluted share in the same period of 2024. Non-GAAP net income in the full year of 2025 came in at $19.9 million, or $1.05 per diluted share, compared to $6.2 million, or $0.33 per diluted share, in the same year-ago period.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for the fourth quarter of 2025 increased to $12.0 million compared to $8.8 million in the same period of 2024. Adjusted EBITDA for the full year of 2025 came in at $24.3 million compared to $11.7 million in the same year-ago period.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Cash and cash equivalents was $23.4 million as of December 31, 2025 as compared to $13.4 million as of December 31, 2024</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cash provided by operating activities was $18.7 million for the year ended December 31, 2025 as compared to $4.9 million in the same period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rPr>
        <w:t xml:space="preserve">Stephen L. Silvestro, OptimizeRx CEO commented, </w:t>
      </w:r>
      <w:r>
        <w:rPr>
          <w:color w:val="000000"/>
          <w:shd w:fill="FFFFFF" w:val="clear"/>
        </w:rPr>
        <w:t>“</w:t>
      </w:r>
      <w:r>
        <w:rPr>
          <w:rFonts w:ascii="Times New Roman;serif" w:hAnsi="Times New Roman;serif"/>
          <w:b w:val="false"/>
          <w:color w:val="000000"/>
          <w:sz w:val="20"/>
        </w:rPr>
        <w:t xml:space="preserve">We delivered a strong fourth quarter, exceeding both consensus and internal expectations, with revenue of $32.2 million and adjusted EBITDA of $12.0 million. For the full year, revenue reached a record $109.4 million and adjusted EBITDA totaled $24.3 million, reflecting more than 20% margin and nearly $19 million in operating cash flow. Importantly, one year ago, we set a goal to become a Rule of 40 company and we have, in 2025, achieved this benchmark demonstrating the strength of our profitable growth model and the durability of our platform. We continue to be focused on becoming a sustainable Rule of 40 company over the next few years. </w:t>
      </w:r>
    </w:p>
    <w:p>
      <w:pPr>
        <w:pStyle w:val="TextBody"/>
        <w:bidi w:val="0"/>
        <w:spacing w:lineRule="auto" w:line="288" w:before="240" w:after="283"/>
        <w:jc w:val="both"/>
        <w:rPr/>
      </w:pPr>
      <w:r>
        <w:rPr>
          <w:color w:val="000000"/>
          <w:shd w:fill="FFFFFF" w:val="clear"/>
        </w:rPr>
        <w:t>“</w:t>
      </w:r>
      <w:r>
        <w:rPr>
          <w:rFonts w:ascii="Times New Roman;serif" w:hAnsi="Times New Roman;serif"/>
          <w:b w:val="false"/>
          <w:color w:val="000000"/>
          <w:sz w:val="20"/>
        </w:rPr>
        <w:t>We are beginning to see inc</w:t>
      </w:r>
      <w:r>
        <w:rPr>
          <w:rFonts w:ascii="Times New Roman;serif" w:hAnsi="Times New Roman;serif"/>
          <w:b w:val="false"/>
          <w:color w:val="000000"/>
          <w:sz w:val="20"/>
          <w:shd w:fill="FFFFFF" w:val="clear"/>
        </w:rPr>
        <w:t xml:space="preserve">reased market volatility, driven in part by uncertainty surrounding Most Favored Nation (MFN) pricing. In response, we believe some customers are taking a more measured approach to discretionary spending and contract duration. While this dynamic may create some near-term headwinds, we continue to see solid engagement across our network and remain confident in the underlying demand trends supporting our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Against that backdrop, OptimizeRx continues to play a mission-critical role for life sciences companies by enhancing brand visibility, reducing script abandonment, improving interoperability between disparate point-of-care platforms, and supporting the growing shift toward complex specialty medications. In addition, we believe advancements in AI will enable customers to reallocate marketing dollars from content creation toward reach and execution—areas where we provide differentiated value with significant ROIs, further strengthening our position over time.”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072" w:type="dxa"/>
        <w:jc w:val="left"/>
        <w:tblInd w:w="0" w:type="dxa"/>
        <w:tblLayout w:type="fixed"/>
        <w:tblCellMar>
          <w:top w:w="28" w:type="dxa"/>
          <w:left w:w="28" w:type="dxa"/>
          <w:bottom w:w="28" w:type="dxa"/>
          <w:right w:w="28" w:type="dxa"/>
        </w:tblCellMar>
      </w:tblPr>
      <w:tblGrid>
        <w:gridCol w:w="2278"/>
        <w:gridCol w:w="1998"/>
        <w:gridCol w:w="2009"/>
        <w:gridCol w:w="229"/>
        <w:gridCol w:w="669"/>
        <w:gridCol w:w="294"/>
        <w:gridCol w:w="118"/>
        <w:gridCol w:w="118"/>
        <w:gridCol w:w="118"/>
        <w:gridCol w:w="229"/>
        <w:gridCol w:w="669"/>
        <w:gridCol w:w="343"/>
      </w:tblGrid>
      <w:tr>
        <w:trPr/>
        <w:tc>
          <w:tcPr>
            <w:tcW w:w="227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Year Ended</w:t>
              <w:br/>
              <w:t>December 31,</w:t>
            </w:r>
          </w:p>
        </w:tc>
      </w:tr>
      <w:tr>
        <w:trPr/>
        <w:tc>
          <w:tcPr>
            <w:tcW w:w="628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(KPIs)**</w:t>
            </w:r>
          </w:p>
        </w:tc>
        <w:tc>
          <w:tcPr>
            <w:tcW w:w="1192"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manufacturers</w:t>
            </w:r>
          </w:p>
        </w:tc>
        <w:tc>
          <w:tcPr>
            <w:tcW w:w="22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9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4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94"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4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w:t>
            </w:r>
          </w:p>
        </w:tc>
        <w:tc>
          <w:tcPr>
            <w:tcW w:w="22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also updating its fiscal year 2026 guidance at this time and is expecting revenue to be between $109 million and $114 million with Adjusted EBITDA to be between $21 million and $25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OptimizeRx’s board of directors has authorized a share repurchase program for up to $10 million of the Company’s outstanding common stock. Under this new program, share repurchases may be made from time to time depending on market conditions, share price, share availability and other factors at the Company’s discretion. This share repurchase authorization is effective March 12, 2026 and expires on the earlier of March 15, 2027, or when the repurchase of $10 million shares has been reached. 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Company’s board of directors may modify, suspend, extend or terminate the share repurchase program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Webcast, and Webcast Replay Information</w:t>
      </w:r>
    </w:p>
    <w:p>
      <w:pPr>
        <w:pStyle w:val="TextBody"/>
        <w:bidi w:val="0"/>
        <w:spacing w:lineRule="auto" w:line="288" w:before="240" w:after="283"/>
        <w:jc w:val="left"/>
        <w:rPr/>
      </w:pPr>
      <w:r>
        <w:rPr>
          <w:rFonts w:ascii="Times New Roman;serif" w:hAnsi="Times New Roman;serif"/>
          <w:b/>
          <w:color w:val="000000"/>
          <w:sz w:val="20"/>
        </w:rPr>
        <w:t>Date</w:t>
      </w:r>
      <w:r>
        <w:rPr>
          <w:rFonts w:ascii="Times New Roman;serif" w:hAnsi="Times New Roman;serif"/>
          <w:b w:val="false"/>
          <w:color w:val="000000"/>
          <w:sz w:val="20"/>
        </w:rPr>
        <w:t>:            Thursday, March 5, 2026</w:t>
      </w:r>
    </w:p>
    <w:p>
      <w:pPr>
        <w:pStyle w:val="TextBody"/>
        <w:bidi w:val="0"/>
        <w:spacing w:lineRule="auto" w:line="288" w:before="0" w:after="0"/>
        <w:jc w:val="left"/>
        <w:rPr/>
      </w:pPr>
      <w:r>
        <w:rPr>
          <w:rFonts w:ascii="Times New Roman;serif" w:hAnsi="Times New Roman;serif"/>
          <w:b/>
          <w:color w:val="000000"/>
          <w:sz w:val="20"/>
        </w:rPr>
        <w:t>Time</w:t>
      </w:r>
      <w:r>
        <w:rPr>
          <w:rFonts w:ascii="Times New Roman;serif" w:hAnsi="Times New Roman;serif"/>
          <w:b w:val="false"/>
          <w:color w:val="000000"/>
          <w:sz w:val="20"/>
        </w:rPr>
        <w:t>:            4:30 p.m. Eastern Time (1:30 p.m. Pacific Time)</w:t>
      </w:r>
    </w:p>
    <w:p>
      <w:pPr>
        <w:pStyle w:val="TextBody"/>
        <w:bidi w:val="0"/>
        <w:spacing w:lineRule="auto" w:line="288" w:before="0" w:after="0"/>
        <w:jc w:val="left"/>
        <w:rPr/>
      </w:pPr>
      <w:r>
        <w:rPr>
          <w:rFonts w:ascii="Times New Roman;serif" w:hAnsi="Times New Roman;serif"/>
          <w:b/>
          <w:color w:val="000000"/>
          <w:sz w:val="20"/>
        </w:rPr>
        <w:t>Toll Free</w:t>
      </w:r>
      <w:r>
        <w:rPr>
          <w:rFonts w:ascii="Times New Roman;serif" w:hAnsi="Times New Roman;serif"/>
          <w:b w:val="false"/>
          <w:color w:val="000000"/>
          <w:sz w:val="20"/>
        </w:rPr>
        <w:t>:        1-844-825-9789</w:t>
      </w:r>
    </w:p>
    <w:p>
      <w:pPr>
        <w:pStyle w:val="TextBody"/>
        <w:bidi w:val="0"/>
        <w:spacing w:lineRule="auto" w:line="288" w:before="0" w:after="0"/>
        <w:jc w:val="left"/>
        <w:rPr/>
      </w:pPr>
      <w:r>
        <w:rPr>
          <w:rFonts w:ascii="Times New Roman;serif" w:hAnsi="Times New Roman;serif"/>
          <w:b/>
          <w:color w:val="000000"/>
          <w:sz w:val="20"/>
        </w:rPr>
        <w:t>International</w:t>
      </w:r>
      <w:r>
        <w:rPr>
          <w:rFonts w:ascii="Times New Roman;serif" w:hAnsi="Times New Roman;serif"/>
          <w:b w:val="false"/>
          <w:color w:val="000000"/>
          <w:sz w:val="20"/>
        </w:rPr>
        <w:t>:        1-412-317-5180</w:t>
      </w:r>
    </w:p>
    <w:p>
      <w:pPr>
        <w:pStyle w:val="TextBody"/>
        <w:bidi w:val="0"/>
        <w:spacing w:lineRule="auto" w:line="288" w:before="0" w:after="0"/>
        <w:jc w:val="left"/>
        <w:rPr/>
      </w:pPr>
      <w:r>
        <w:rPr>
          <w:rFonts w:ascii="Times New Roman;serif" w:hAnsi="Times New Roman;serif"/>
          <w:b/>
          <w:color w:val="000000"/>
          <w:sz w:val="20"/>
        </w:rPr>
        <w:t>Conference ID</w:t>
      </w:r>
      <w:r>
        <w:rPr>
          <w:rFonts w:ascii="Times New Roman;serif" w:hAnsi="Times New Roman;serif"/>
          <w:b w:val="false"/>
          <w:color w:val="000000"/>
          <w:sz w:val="20"/>
        </w:rPr>
        <w:t>:        10206362</w:t>
      </w:r>
    </w:p>
    <w:p>
      <w:pPr>
        <w:pStyle w:val="TextBody"/>
        <w:bidi w:val="0"/>
        <w:spacing w:lineRule="auto" w:line="268" w:before="0" w:after="0"/>
        <w:jc w:val="left"/>
        <w:rPr/>
      </w:pPr>
      <w:r>
        <w:rPr>
          <w:rFonts w:ascii="Times New Roman;serif" w:hAnsi="Times New Roman;serif"/>
          <w:b/>
          <w:color w:val="000000"/>
          <w:sz w:val="20"/>
        </w:rPr>
        <w:t>Call Me</w:t>
      </w:r>
      <w:r>
        <w:rPr>
          <w:rFonts w:ascii="Times New Roman;serif" w:hAnsi="Times New Roman;serif"/>
          <w:b w:val="false"/>
          <w:color w:val="000000"/>
          <w:sz w:val="20"/>
        </w:rPr>
        <w:t>:        https://callme.viavid.com/?$Y2FsbG1lPXRydWUmcGFzc2NvZGU9JmluZm89Y29tcGFueSZyPXRydWUmYj0xNg==</w:t>
      </w:r>
    </w:p>
    <w:p>
      <w:pPr>
        <w:pStyle w:val="TextBody"/>
        <w:bidi w:val="0"/>
        <w:spacing w:lineRule="auto" w:line="268" w:before="0" w:after="0"/>
        <w:jc w:val="left"/>
        <w:rPr/>
      </w:pPr>
      <w:r>
        <w:rPr>
          <w:rFonts w:ascii="Times New Roman;serif" w:hAnsi="Times New Roman;serif"/>
          <w:b/>
          <w:color w:val="000000"/>
          <w:sz w:val="20"/>
        </w:rPr>
        <w:t>Webcast</w:t>
      </w:r>
      <w:r>
        <w:rPr>
          <w:rFonts w:ascii="Times New Roman;serif" w:hAnsi="Times New Roman;serif"/>
          <w:b w:val="false"/>
          <w:color w:val="000000"/>
          <w:sz w:val="20"/>
        </w:rPr>
        <w:t>:         https://viavid.webcasts.com/starthere.jsp?ei=1750927&amp;tp_key=099094fd29</w:t>
      </w:r>
    </w:p>
    <w:p>
      <w:pPr>
        <w:pStyle w:val="TextBody"/>
        <w:bidi w:val="0"/>
        <w:spacing w:lineRule="auto" w:line="288" w:before="0" w:after="0"/>
        <w:jc w:val="left"/>
        <w:rPr/>
      </w:pPr>
      <w:r>
        <w:rPr>
          <w:rFonts w:ascii="Times New Roman;serif" w:hAnsi="Times New Roman;serif"/>
          <w:b/>
          <w:color w:val="000000"/>
          <w:sz w:val="20"/>
        </w:rPr>
        <w:t>Call Me Passcode</w:t>
      </w:r>
      <w:r>
        <w:rPr>
          <w:rFonts w:ascii="Times New Roman;serif" w:hAnsi="Times New Roman;serif"/>
          <w:b w:val="false"/>
          <w:color w:val="000000"/>
          <w:sz w:val="20"/>
        </w:rPr>
        <w:t>:     6586380</w:t>
      </w:r>
    </w:p>
    <w:p>
      <w:pPr>
        <w:pStyle w:val="TextBody"/>
        <w:bidi w:val="0"/>
        <w:spacing w:lineRule="auto" w:line="288" w:before="0" w:after="0"/>
        <w:jc w:val="left"/>
        <w:rPr/>
      </w:pPr>
      <w:r>
        <w:rPr>
          <w:rFonts w:ascii="Times New Roman;serif" w:hAnsi="Times New Roman;serif"/>
          <w:b/>
          <w:color w:val="000000"/>
          <w:sz w:val="20"/>
        </w:rPr>
        <w:t>Webcast Replay:</w:t>
      </w:r>
      <w:r>
        <w:rPr>
          <w:color w:val="000000"/>
        </w:rPr>
        <w:t xml:space="preserve">     </w:t>
      </w:r>
      <w:r>
        <w:rPr>
          <w:rFonts w:ascii="Times New Roman;serif" w:hAnsi="Times New Roman;serif"/>
          <w:b w:val="false"/>
          <w:color w:val="000000"/>
          <w:sz w:val="20"/>
        </w:rPr>
        <w:t>The archived webcast will be on the investor relations section of the OptimizeRx website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Invitation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an effort to increase relations with institutional investors, OptimizeRx management has dedicated time to hosting individual meetings with portfolio managers and analysts. If you are interested in scheduling a meeting with OptimizeRx management, please contact: adsilva@optimizerx.com or shalper@lifesciadvisors.com.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measures prepared in accordance with generally accepted accounting principles (GAAP), this earnings release also contains non-GAAP financial measures. The reasons why we believe these measures provide useful information to investors and, for historical periods, a reconciliation of these measures to the most directly comparable GAAP measures are included in the supplemental tables that follow.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provides guidance for Adjusted EBITDA, a non-GAAP financial measure, it is not able to provide guidance to the most directly comparable GAAP measure. Reconciliations for forward-looking figures would require unreasonable effort at this time because of the uncertainty and variability of the nature and amount of certain components of various necessary GAAP components, including, for example, those related to compensation, acquisition expenses, other income,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**Definition of Key Performance Indicators </w:t>
      </w:r>
    </w:p>
    <w:p>
      <w:pPr>
        <w:pStyle w:val="TextBody"/>
        <w:bidi w:val="0"/>
        <w:spacing w:lineRule="auto" w:line="288" w:before="240" w:after="283"/>
        <w:jc w:val="both"/>
        <w:rPr/>
      </w:pPr>
      <w:r>
        <w:rPr>
          <w:rFonts w:ascii="Times New Roman;serif" w:hAnsi="Times New Roman;serif"/>
          <w:b/>
          <w:color w:val="000000"/>
          <w:sz w:val="20"/>
        </w:rPr>
        <w:t xml:space="preserve">Top 20 pharmaceutical manufacturers: </w:t>
      </w:r>
      <w:r>
        <w:rPr>
          <w:rFonts w:ascii="Times New Roman;serif" w:hAnsi="Times New Roman;serif"/>
          <w:b w:val="false"/>
          <w:color w:val="000000"/>
          <w:sz w:val="20"/>
        </w:rPr>
        <w:t>We have updated the definition of “top 20 pharmaceutical manufacturers” in our key performance indicators to be based upon Fierce Pharma’s most updated list of “The top 20 pharma companies by 2024 revenue”. We previously used “The top 20 pharma companies by 2023 revenue”. As a result of this change, prior periods have been restated for comparative purposes.</w:t>
      </w:r>
    </w:p>
    <w:p>
      <w:pPr>
        <w:pStyle w:val="TextBody"/>
        <w:bidi w:val="0"/>
        <w:spacing w:lineRule="auto" w:line="288" w:before="240" w:after="283"/>
        <w:jc w:val="both"/>
        <w:rPr/>
      </w:pPr>
      <w:r>
        <w:rPr>
          <w:rFonts w:ascii="Times New Roman;serif" w:hAnsi="Times New Roman;serif"/>
          <w:b/>
          <w:color w:val="000000"/>
          <w:sz w:val="20"/>
        </w:rPr>
        <w:t>Net revenue retention</w:t>
      </w:r>
      <w:r>
        <w:rPr>
          <w:rFonts w:ascii="Times New Roman;serif" w:hAnsi="Times New Roman;serif"/>
          <w:b w:val="false"/>
          <w:color w:val="000000"/>
          <w:sz w:val="20"/>
        </w:rPr>
        <w:t>: Net revenue retention is a comparison of revenue generated from all clients in the previous period to total revenue generated from the same clients in the following year (i.e., excludes new client relationships for the most recent year).</w:t>
      </w:r>
    </w:p>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We define revenue per average full-time employee (FTE) as total revenue over the last 12 months (LTM) divided by the average number of employees over the LTM, which is calculated by taking our total number of FTEs at the end of the prior year period by our total FTE headcount at the end of the most recent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OptimizeRx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is a leading healthcare technology company that’s redefining how life science brands connect with patients and healthcare providers. Our platform combines innovative artificial intelligence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follow the Company on X, LinkedIn or visit www.optimizerx.com.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Important Cautions Regarding Forward-Looking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future performance, expected revenues, expected Adjusted EBITDA, plans to grow shareholder value creation, plans to continue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0"/>
        </w:rPr>
        <w:t xml:space="preserve">Company’s growth and transformation, plans to position the Company to become a sustained “Rule of 40” company, increased market volatility, engagement across the Company’s network, </w:t>
      </w:r>
      <w:r>
        <w:rPr>
          <w:rFonts w:ascii="Times New Roman;serif" w:hAnsi="Times New Roman;serif"/>
          <w:b w:val="false"/>
          <w:color w:val="000000"/>
          <w:sz w:val="20"/>
          <w:shd w:fill="FFFFFF" w:val="clear"/>
        </w:rPr>
        <w:t xml:space="preserve">improving interoperability between disparate point-of-care platforms, </w:t>
      </w:r>
      <w:r>
        <w:rPr>
          <w:rFonts w:ascii="Times New Roman;serif" w:hAnsi="Times New Roman;serif"/>
          <w:b w:val="false"/>
          <w:color w:val="000000"/>
          <w:sz w:val="20"/>
        </w:rPr>
        <w:t>growing shift toward complex specialty medications, advancements in AI, plans to pay down debt at an accelerated rate, momentum extending into 2026, setting the stage for sustained strength in 2026 and beyond, the timing and amount of repurchases of our common stock and other statements relating to future performance, plans, and expectations. These forward-looking statements are based 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fiscal year ended December 31, 2024, its subsequent Quarterly Reports on Form 10-Q, and in other filings the Company has made and may make with the Securities and Exchange Commission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OptimizeRx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Andy D’Silva, Chief Business Officer</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adsilva@optimizerx.com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Halper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LifeSci Advisors, LLC</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shalper@lifesciadvisors.com</w:t>
      </w:r>
    </w:p>
    <w:p>
      <w:pPr>
        <w:pStyle w:val="TextBody"/>
        <w:bidi w:val="0"/>
        <w:spacing w:lineRule="auto" w:line="319"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08"/>
        <w:gridCol w:w="2366"/>
        <w:gridCol w:w="2375"/>
        <w:gridCol w:w="196"/>
        <w:gridCol w:w="736"/>
        <w:gridCol w:w="109"/>
        <w:gridCol w:w="109"/>
        <w:gridCol w:w="109"/>
        <w:gridCol w:w="109"/>
        <w:gridCol w:w="196"/>
        <w:gridCol w:w="736"/>
        <w:gridCol w:w="156"/>
      </w:tblGrid>
      <w:tr>
        <w:trPr/>
        <w:tc>
          <w:tcPr>
            <w:tcW w:w="3008"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before="0" w:after="283"/>
              <w:jc w:val="center"/>
              <w:rPr/>
            </w:pPr>
            <w:r>
              <w:rPr/>
              <w:t>December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74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credit losses of $260 and $335 at December 31, 2025 and 2024, respectively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64,715 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53,971 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 and customer relationships,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117,047 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18,654 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48,624 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54,170 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December 31, 2025 and 2024,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166,666,667 shares authorized, 20,500,986 and 20,194,697 shares issued at December 31, 2025 and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value,1,741,397 shares purchased at December 31, 2025 and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(79,236)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(84,368)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116,998 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7"/>
        <w:gridCol w:w="1314"/>
        <w:gridCol w:w="1323"/>
        <w:gridCol w:w="302"/>
        <w:gridCol w:w="856"/>
        <w:gridCol w:w="143"/>
        <w:gridCol w:w="143"/>
        <w:gridCol w:w="143"/>
        <w:gridCol w:w="143"/>
        <w:gridCol w:w="302"/>
        <w:gridCol w:w="856"/>
        <w:gridCol w:w="143"/>
        <w:gridCol w:w="109"/>
        <w:gridCol w:w="109"/>
        <w:gridCol w:w="109"/>
        <w:gridCol w:w="221"/>
        <w:gridCol w:w="794"/>
        <w:gridCol w:w="117"/>
        <w:gridCol w:w="117"/>
        <w:gridCol w:w="117"/>
        <w:gridCol w:w="117"/>
        <w:gridCol w:w="221"/>
        <w:gridCol w:w="784"/>
        <w:gridCol w:w="175"/>
      </w:tblGrid>
      <w:tr>
        <w:trPr/>
        <w:tc>
          <w:tcPr>
            <w:tcW w:w="154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For the 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302"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32,239 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32,317 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109,429 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92,127 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 exclusive of depreciation and amortization presented separately below</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10,293 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35,834 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32,749 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24,100 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22,024 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73,595 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59,378 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6,962 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11,467 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4,329 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general and administrative expenses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12,125 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14,358 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50,245 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49,799 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15,531 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18,389 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61,902 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73,084 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8,569 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11,693 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(13,706)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(5,294)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(6,160)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net</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(1,098)</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(1,426)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(4,743)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(5,679)</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7,471 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2,209 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6,950 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(19,385)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(2,286)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5,020 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5,132 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(20,110)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 – basic</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18,661,212 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18,418,519 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18,555,343 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18,292,935 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 – diluted</w:t>
            </w:r>
          </w:p>
        </w:tc>
        <w:tc>
          <w:tcPr>
            <w:tcW w:w="11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19,381,024 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18,418,519 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18,998,463 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18,292,935 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basic</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diluted</w:t>
            </w:r>
          </w:p>
        </w:tc>
        <w:tc>
          <w:tcPr>
            <w:tcW w:w="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color w:val="000000"/>
              </w:rPr>
            </w:pPr>
            <w:r>
              <w:rPr>
                <w:color w:val="000000"/>
              </w:rPr>
              <w:t>—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8648" w:type="dxa"/>
        <w:jc w:val="left"/>
        <w:tblInd w:w="0" w:type="dxa"/>
        <w:tblLayout w:type="fixed"/>
        <w:tblCellMar>
          <w:top w:w="28" w:type="dxa"/>
          <w:left w:w="28" w:type="dxa"/>
          <w:bottom w:w="28" w:type="dxa"/>
          <w:right w:w="28" w:type="dxa"/>
        </w:tblCellMar>
      </w:tblPr>
      <w:tblGrid>
        <w:gridCol w:w="2281"/>
        <w:gridCol w:w="2004"/>
        <w:gridCol w:w="2014"/>
        <w:gridCol w:w="196"/>
        <w:gridCol w:w="646"/>
        <w:gridCol w:w="109"/>
        <w:gridCol w:w="109"/>
        <w:gridCol w:w="109"/>
        <w:gridCol w:w="109"/>
        <w:gridCol w:w="196"/>
        <w:gridCol w:w="721"/>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For the Year Ended</w:t>
            </w:r>
          </w:p>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 and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loan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employee withholding taxes related to the vesting of restricted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net of cash paid for withholding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(4,911)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CASH AND CASH EQUIVALENTS –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earnings release includes certain financial measures not derived in accordance with generally accepted accounting principles (GAAP). These non-GAAP financial measures are measures of performance not defined by accounting principles generally accepted in the United States and should be considered in addition to, not in lieu of, GAAP reported measures. Additionally, these non-GAAP measures may not be comparable to similarly titled measures reported by other companies. However, management believes that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these non-GAAP financial measures in making financial, operating and planning decisions and in evaluating the Company's performance. Management believes that financial information excluding certain items that are not considered to reflect the Company’s ongoing operating results, such as those listed below, improves the comparability of year-to-year results. Consequently, management believes that investors may be able to better understand the Company’s operating results excluding these items. Non-GAAP financial measures may reflect adjustments for items such as asset impairment charges, amortization, stock-based compensation, acquisition expenses, severance tied to executive departures and reduction in force initiatives, shareholder activist related fees, CEO search fees, other income, as well as other items that management believes are not related to the Company’s ongoing performance.</w:t>
      </w:r>
    </w:p>
    <w:p>
      <w:pPr>
        <w:pStyle w:val="TextBody"/>
        <w:bidi w:val="0"/>
        <w:spacing w:before="0" w:after="0"/>
        <w:jc w:val="left"/>
        <w:rPr/>
      </w:pPr>
      <w:r>
        <w:rPr/>
      </w:r>
    </w:p>
    <w:tbl>
      <w:tblPr>
        <w:tblW w:w="8010" w:type="dxa"/>
        <w:jc w:val="center"/>
        <w:tblInd w:w="0" w:type="dxa"/>
        <w:tblLayout w:type="fixed"/>
        <w:tblCellMar>
          <w:top w:w="28" w:type="dxa"/>
          <w:left w:w="28" w:type="dxa"/>
          <w:bottom w:w="28" w:type="dxa"/>
          <w:right w:w="28" w:type="dxa"/>
        </w:tblCellMar>
      </w:tblPr>
      <w:tblGrid>
        <w:gridCol w:w="1008"/>
        <w:gridCol w:w="887"/>
        <w:gridCol w:w="894"/>
        <w:gridCol w:w="243"/>
        <w:gridCol w:w="689"/>
        <w:gridCol w:w="135"/>
        <w:gridCol w:w="135"/>
        <w:gridCol w:w="135"/>
        <w:gridCol w:w="135"/>
        <w:gridCol w:w="275"/>
        <w:gridCol w:w="503"/>
        <w:gridCol w:w="155"/>
        <w:gridCol w:w="109"/>
        <w:gridCol w:w="109"/>
        <w:gridCol w:w="109"/>
        <w:gridCol w:w="216"/>
        <w:gridCol w:w="613"/>
        <w:gridCol w:w="120"/>
        <w:gridCol w:w="120"/>
        <w:gridCol w:w="120"/>
        <w:gridCol w:w="120"/>
        <w:gridCol w:w="216"/>
        <w:gridCol w:w="795"/>
        <w:gridCol w:w="169"/>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For the Twelve Months Ended</w:t>
              <w:br/>
              <w:t>December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5,020 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5,132 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(20,110)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1,215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1,215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4,327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4,329</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6,962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11,467</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7,489</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charges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1,908</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 activist related fees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CEO search fees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1,110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expense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0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19,867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6,162</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4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6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3"/>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19,381,024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18,464,605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18,998,463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18,583,936</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236" w:type="dxa"/>
        <w:jc w:val="center"/>
        <w:tblInd w:w="0" w:type="dxa"/>
        <w:tblLayout w:type="fixed"/>
        <w:tblCellMar>
          <w:top w:w="28" w:type="dxa"/>
          <w:left w:w="28" w:type="dxa"/>
          <w:bottom w:w="28" w:type="dxa"/>
          <w:right w:w="28" w:type="dxa"/>
        </w:tblCellMar>
      </w:tblPr>
      <w:tblGrid>
        <w:gridCol w:w="977"/>
        <w:gridCol w:w="857"/>
        <w:gridCol w:w="865"/>
        <w:gridCol w:w="265"/>
        <w:gridCol w:w="773"/>
        <w:gridCol w:w="136"/>
        <w:gridCol w:w="136"/>
        <w:gridCol w:w="136"/>
        <w:gridCol w:w="136"/>
        <w:gridCol w:w="265"/>
        <w:gridCol w:w="547"/>
        <w:gridCol w:w="136"/>
        <w:gridCol w:w="109"/>
        <w:gridCol w:w="109"/>
        <w:gridCol w:w="109"/>
        <w:gridCol w:w="233"/>
        <w:gridCol w:w="682"/>
        <w:gridCol w:w="120"/>
        <w:gridCol w:w="120"/>
        <w:gridCol w:w="120"/>
        <w:gridCol w:w="120"/>
        <w:gridCol w:w="233"/>
        <w:gridCol w:w="882"/>
        <w:gridCol w:w="170"/>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Twelve Months Ended</w:t>
              <w:br/>
              <w:t>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4,327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4,329</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6,962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11,467</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activist related fees</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CEO search fees</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1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11,975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24,301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11,730</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4015</Words>
  <Characters>23172</Characters>
  <CharactersWithSpaces>26876</CharactersWithSpaces>
  <Paragraphs>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