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160" w:after="283"/>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60" w:after="283"/>
        <w:jc w:val="center"/>
        <w:rPr/>
      </w:pPr>
      <w:r>
        <w:rPr>
          <w:rFonts w:ascii="Times New Roman;sans-serif" w:hAnsi="Times New Roman;sans-serif"/>
          <w:b w:val="false"/>
          <w:color w:val="000000"/>
          <w:sz w:val="20"/>
        </w:rPr>
        <w:t xml:space="preserve">For the quarterly period ended </w:t>
      </w:r>
      <w:r>
        <w:rPr>
          <w:rFonts w:ascii="Times New Roman;sans-serif" w:hAnsi="Times New Roman;sans-serif"/>
          <w:b/>
          <w:color w:val="000000"/>
          <w:sz w:val="20"/>
        </w:rPr>
        <w:t>March 31, 2025</w:t>
      </w:r>
    </w:p>
    <w:p>
      <w:pPr>
        <w:pStyle w:val="TextBody"/>
        <w:bidi w:val="0"/>
        <w:spacing w:lineRule="auto" w:line="288" w:before="16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13 or 15(d) of the Securities Exchange Act of 1934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 to __________</w:t>
      </w:r>
    </w:p>
    <w:p>
      <w:pPr>
        <w:pStyle w:val="TextBody"/>
        <w:bidi w:val="0"/>
        <w:spacing w:lineRule="auto" w:line="288" w:before="16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u w:val="single"/>
        </w:rPr>
        <w:t>001-38543</w:t>
      </w:r>
    </w:p>
    <w:p>
      <w:pPr>
        <w:pStyle w:val="TextBody"/>
        <w:bidi w:val="0"/>
        <w:spacing w:lineRule="auto" w:line="288" w:before="1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OptimizeRx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645" w:type="dxa"/>
        <w:jc w:val="left"/>
        <w:tblInd w:w="0" w:type="dxa"/>
        <w:tblLayout w:type="fixed"/>
        <w:tblCellMar>
          <w:top w:w="28" w:type="dxa"/>
          <w:left w:w="28" w:type="dxa"/>
          <w:bottom w:w="28" w:type="dxa"/>
          <w:right w:w="28" w:type="dxa"/>
        </w:tblCellMar>
      </w:tblPr>
      <w:tblGrid>
        <w:gridCol w:w="948"/>
        <w:gridCol w:w="835"/>
        <w:gridCol w:w="841"/>
        <w:gridCol w:w="109"/>
        <w:gridCol w:w="109"/>
        <w:gridCol w:w="109"/>
        <w:gridCol w:w="494"/>
        <w:gridCol w:w="494"/>
        <w:gridCol w:w="706"/>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26-1265381</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 Identification No.)</w:t>
            </w:r>
          </w:p>
        </w:tc>
      </w:tr>
    </w:tbl>
    <w:p>
      <w:pPr>
        <w:pStyle w:val="TextBody"/>
        <w:bidi w:val="0"/>
        <w:spacing w:lineRule="auto" w:line="288" w:before="120" w:after="283"/>
        <w:jc w:val="center"/>
        <w:rPr/>
      </w:pPr>
      <w:r>
        <w:rPr>
          <w:rFonts w:ascii="Times New Roman;sans-serif" w:hAnsi="Times New Roman;sans-serif"/>
          <w:b/>
          <w:color w:val="000000"/>
          <w:sz w:val="20"/>
        </w:rPr>
        <w:t>260 Charles Street</w:t>
      </w:r>
      <w:r>
        <w:rPr>
          <w:rFonts w:ascii="Times New Roman;sans-serif" w:hAnsi="Times New Roman;sans-serif"/>
          <w:b w:val="false"/>
          <w:color w:val="000000"/>
          <w:sz w:val="20"/>
        </w:rPr>
        <w:t>,</w:t>
      </w:r>
      <w:r>
        <w:rPr>
          <w:color w:val="000000"/>
        </w:rPr>
        <w:t xml:space="preserve"> </w:t>
      </w:r>
      <w:r>
        <w:rPr>
          <w:rFonts w:ascii="Times New Roman;sans-serif" w:hAnsi="Times New Roman;sans-serif"/>
          <w:b/>
          <w:color w:val="000000"/>
          <w:sz w:val="20"/>
        </w:rPr>
        <w:t>Suite 302</w:t>
      </w:r>
    </w:p>
    <w:p>
      <w:pPr>
        <w:pStyle w:val="TextBody"/>
        <w:bidi w:val="0"/>
        <w:spacing w:lineRule="auto" w:line="288" w:before="0" w:after="0"/>
        <w:jc w:val="center"/>
        <w:rPr/>
      </w:pPr>
      <w:r>
        <w:rPr>
          <w:rFonts w:ascii="Times New Roman;sans-serif" w:hAnsi="Times New Roman;sans-serif"/>
          <w:b/>
          <w:color w:val="000000"/>
          <w:sz w:val="20"/>
          <w:u w:val="single"/>
        </w:rPr>
        <w:t>Waltham</w:t>
      </w:r>
      <w:r>
        <w:rPr>
          <w:rFonts w:ascii="Times New Roman;sans-serif" w:hAnsi="Times New Roman;sans-serif"/>
          <w:b/>
          <w:color w:val="000000"/>
          <w:sz w:val="20"/>
        </w:rPr>
        <w:t>,</w:t>
      </w:r>
      <w:r>
        <w:rPr>
          <w:color w:val="000000"/>
          <w:u w:val="single"/>
        </w:rPr>
        <w:t xml:space="preserve"> </w:t>
      </w:r>
      <w:r>
        <w:rPr>
          <w:rFonts w:ascii="Times New Roman;sans-serif" w:hAnsi="Times New Roman;sans-serif"/>
          <w:b/>
          <w:color w:val="000000"/>
          <w:sz w:val="20"/>
          <w:u w:val="single"/>
        </w:rPr>
        <w:t>MA 02453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1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248-651-6568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under Section 12(b) of the Exchange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OPRX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16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bl>
    <w:p>
      <w:pPr>
        <w:pStyle w:val="TextBody"/>
        <w:bidi w:val="0"/>
        <w:spacing w:lineRule="auto" w:line="288" w:before="16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the number of shares outstanding of each of the issuer’s classes of common stock, as of the latest practicable date: 18,495,111 common shares as of May 6,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73" w:type="dxa"/>
        <w:jc w:val="left"/>
        <w:tblInd w:w="0" w:type="dxa"/>
        <w:tblLayout w:type="fixed"/>
        <w:tblCellMar>
          <w:top w:w="28" w:type="dxa"/>
          <w:left w:w="28" w:type="dxa"/>
          <w:bottom w:w="28" w:type="dxa"/>
          <w:right w:w="28" w:type="dxa"/>
        </w:tblCellMar>
      </w:tblPr>
      <w:tblGrid>
        <w:gridCol w:w="298"/>
        <w:gridCol w:w="262"/>
        <w:gridCol w:w="264"/>
        <w:gridCol w:w="2453"/>
        <w:gridCol w:w="2453"/>
        <w:gridCol w:w="2458"/>
        <w:gridCol w:w="171"/>
        <w:gridCol w:w="171"/>
        <w:gridCol w:w="24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Page </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0">
              <w:r>
                <w:rPr>
                  <w:rStyle w:val="InternetLink"/>
                  <w:rFonts w:ascii="Times New Roman;sans-serif" w:hAnsi="Times New Roman;sans-serif"/>
                  <w:b/>
                  <w:color w:val="0000FF"/>
                  <w:sz w:val="20"/>
                  <w:u w:val="single"/>
                </w:rPr>
                <w:t>PART I – FINANCIAL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3">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3">
              <w:r>
                <w:rPr>
                  <w:rStyle w:val="InternetLink"/>
                  <w:rFonts w:ascii="Times New Roman;sans-serif" w:hAnsi="Times New Roman;sans-serif"/>
                  <w:b w:val="false"/>
                  <w:color w:val="0000FF"/>
                  <w:sz w:val="20"/>
                  <w:u w:val="single"/>
                </w:rPr>
                <w:t>Financial Statements (unaudited)</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3">
              <w:r>
                <w:rPr>
                  <w:rStyle w:val="InternetLink"/>
                  <w:rFonts w:ascii="Times New Roman;sans-serif" w:hAnsi="Times New Roman;sans-serif"/>
                  <w:b w:val="false"/>
                  <w:strike w:val="false"/>
                  <w:dstrike w:val="false"/>
                  <w:color w:val="000000"/>
                  <w:sz w:val="20"/>
                  <w:u w:val="none"/>
                  <w:effect w:val="none"/>
                </w:rPr>
                <w:t>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67">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67">
              <w:r>
                <w:rPr>
                  <w:rStyle w:val="InternetLink"/>
                  <w:rFonts w:ascii="Times New Roman;sans-serif" w:hAnsi="Times New Roman;sans-serif"/>
                  <w:b w:val="false"/>
                  <w:strike w:val="false"/>
                  <w:dstrike w:val="false"/>
                  <w:color w:val="000000"/>
                  <w:sz w:val="20"/>
                  <w:u w:val="none"/>
                  <w:effect w:val="none"/>
                </w:rPr>
                <w:t>18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97">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97">
              <w:r>
                <w:rPr>
                  <w:rStyle w:val="InternetLink"/>
                  <w:rFonts w:ascii="Times New Roman;sans-serif" w:hAnsi="Times New Roman;sans-serif"/>
                  <w:b w:val="false"/>
                  <w:color w:val="0000FF"/>
                  <w:sz w:val="20"/>
                  <w:u w:val="single"/>
                </w:rPr>
                <w:t>Quantitative and Qualitative Disclosures About Market Risk</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97">
              <w:r>
                <w:rPr>
                  <w:rStyle w:val="InternetLink"/>
                  <w:rFonts w:ascii="Times New Roman;sans-serif" w:hAnsi="Times New Roman;sans-serif"/>
                  <w:b w:val="false"/>
                  <w:strike w:val="false"/>
                  <w:dstrike w:val="false"/>
                  <w:color w:val="000000"/>
                  <w:sz w:val="20"/>
                  <w:u w:val="none"/>
                  <w:effect w:val="none"/>
                </w:rPr>
                <w:t>24</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00">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00">
              <w:r>
                <w:rPr>
                  <w:rStyle w:val="InternetLink"/>
                  <w:rFonts w:ascii="Times New Roman;sans-serif" w:hAnsi="Times New Roman;sans-serif"/>
                  <w:b w:val="false"/>
                  <w:color w:val="0000FF"/>
                  <w:sz w:val="20"/>
                  <w:u w:val="single"/>
                </w:rPr>
                <w:t>Controls and Procedures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00">
              <w:r>
                <w:rPr>
                  <w:rStyle w:val="InternetLink"/>
                  <w:rFonts w:ascii="Times New Roman;sans-serif" w:hAnsi="Times New Roman;sans-serif"/>
                  <w:b w:val="false"/>
                  <w:strike w:val="false"/>
                  <w:dstrike w:val="false"/>
                  <w:color w:val="000000"/>
                  <w:sz w:val="20"/>
                  <w:u w:val="none"/>
                  <w:effect w:val="none"/>
                </w:rPr>
                <w:t>24</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03">
              <w:r>
                <w:rPr>
                  <w:rStyle w:val="InternetLink"/>
                  <w:rFonts w:ascii="Times New Roman;sans-serif" w:hAnsi="Times New Roman;sans-serif"/>
                  <w:b/>
                  <w:color w:val="0000FF"/>
                  <w:sz w:val="20"/>
                  <w:u w:val="single"/>
                </w:rPr>
                <w:t>PART II — OTHER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06">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06">
              <w:r>
                <w:rPr>
                  <w:rStyle w:val="InternetLink"/>
                  <w:rFonts w:ascii="Times New Roman;sans-serif" w:hAnsi="Times New Roman;sans-serif"/>
                  <w:b w:val="false"/>
                  <w:color w:val="0000FF"/>
                  <w:sz w:val="20"/>
                  <w:u w:val="single"/>
                </w:rPr>
                <w:t>Legal Proceedings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06">
              <w:r>
                <w:rPr>
                  <w:rStyle w:val="InternetLink"/>
                  <w:rFonts w:ascii="Times New Roman;sans-serif" w:hAnsi="Times New Roman;sans-serif"/>
                  <w:b w:val="false"/>
                  <w:strike w:val="false"/>
                  <w:dstrike w:val="false"/>
                  <w:color w:val="000000"/>
                  <w:sz w:val="20"/>
                  <w:u w:val="none"/>
                  <w:effect w:val="none"/>
                </w:rPr>
                <w:t>26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09">
              <w:r>
                <w:rPr>
                  <w:rStyle w:val="InternetLink"/>
                  <w:rFonts w:ascii="Times New Roman;sans-serif" w:hAnsi="Times New Roman;sans-serif"/>
                  <w:b w:val="false"/>
                  <w:strike w:val="false"/>
                  <w:dstrike w:val="false"/>
                  <w:color w:val="000000"/>
                  <w:sz w:val="20"/>
                  <w:u w:val="none"/>
                  <w:effect w:val="non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09">
              <w:r>
                <w:rPr>
                  <w:rStyle w:val="InternetLink"/>
                  <w:rFonts w:ascii="Times New Roman;sans-serif" w:hAnsi="Times New Roman;sans-serif"/>
                  <w:b w:val="false"/>
                  <w:color w:val="0000FF"/>
                  <w:sz w:val="20"/>
                  <w:u w:val="single"/>
                </w:rPr>
                <w:t>Risk Factors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09">
              <w:r>
                <w:rPr>
                  <w:rStyle w:val="InternetLink"/>
                  <w:rFonts w:ascii="Times New Roman;sans-serif" w:hAnsi="Times New Roman;sans-serif"/>
                  <w:b w:val="false"/>
                  <w:strike w:val="false"/>
                  <w:dstrike w:val="false"/>
                  <w:color w:val="000000"/>
                  <w:sz w:val="20"/>
                  <w:u w:val="none"/>
                  <w:effect w:val="none"/>
                </w:rPr>
                <w:t>26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12">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12">
              <w:r>
                <w:rPr>
                  <w:rStyle w:val="InternetLink"/>
                  <w:rFonts w:ascii="Times New Roman;sans-serif" w:hAnsi="Times New Roman;sans-serif"/>
                  <w:b w:val="false"/>
                  <w:color w:val="0000FF"/>
                  <w:sz w:val="20"/>
                  <w:u w:val="single"/>
                </w:rPr>
                <w:t>Unregistered Sales of Equity Securities and Use of Proceeds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12">
              <w:r>
                <w:rPr>
                  <w:rStyle w:val="InternetLink"/>
                  <w:rFonts w:ascii="Times New Roman;sans-serif" w:hAnsi="Times New Roman;sans-serif"/>
                  <w:b w:val="false"/>
                  <w:strike w:val="false"/>
                  <w:dstrike w:val="false"/>
                  <w:color w:val="000000"/>
                  <w:sz w:val="20"/>
                  <w:u w:val="none"/>
                  <w:effect w:val="none"/>
                </w:rPr>
                <w:t>26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15">
              <w:r>
                <w:rPr>
                  <w:rStyle w:val="InternetLink"/>
                  <w:rFonts w:ascii="Times New Roman;sans-serif" w:hAnsi="Times New Roman;sans-serif"/>
                  <w:b w:val="false"/>
                  <w:color w:val="0000FF"/>
                  <w:sz w:val="20"/>
                  <w:u w:val="single"/>
                </w:rPr>
                <w:t>Defaults Upon Senior Securities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15">
              <w:r>
                <w:rPr>
                  <w:rStyle w:val="InternetLink"/>
                  <w:rFonts w:ascii="Times New Roman;sans-serif" w:hAnsi="Times New Roman;sans-serif"/>
                  <w:b w:val="false"/>
                  <w:strike w:val="false"/>
                  <w:dstrike w:val="false"/>
                  <w:color w:val="000000"/>
                  <w:sz w:val="20"/>
                  <w:u w:val="none"/>
                  <w:effect w:val="none"/>
                </w:rPr>
                <w:t>26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15">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15">
              <w:r>
                <w:rPr>
                  <w:rStyle w:val="InternetLink"/>
                  <w:rFonts w:ascii="Times New Roman;sans-serif" w:hAnsi="Times New Roman;sans-serif"/>
                  <w:b w:val="false"/>
                  <w:color w:val="0000FF"/>
                  <w:sz w:val="20"/>
                  <w:u w:val="single"/>
                </w:rPr>
                <w:t>Mine Safety Disclosure</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15">
              <w:r>
                <w:rPr>
                  <w:rStyle w:val="InternetLink"/>
                  <w:rFonts w:ascii="Times New Roman;sans-serif" w:hAnsi="Times New Roman;sans-serif"/>
                  <w:b w:val="false"/>
                  <w:strike w:val="false"/>
                  <w:dstrike w:val="false"/>
                  <w:color w:val="000000"/>
                  <w:sz w:val="20"/>
                  <w:u w:val="none"/>
                  <w:effect w:val="none"/>
                </w:rPr>
                <w:t>26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21">
              <w:r>
                <w:rPr>
                  <w:rStyle w:val="InternetLink"/>
                  <w:rFonts w:ascii="Times New Roman;sans-serif" w:hAnsi="Times New Roman;sans-serif"/>
                  <w:b w:val="false"/>
                  <w:strike w:val="false"/>
                  <w:dstrike w:val="false"/>
                  <w:color w:val="000000"/>
                  <w:sz w:val="20"/>
                  <w:u w:val="none"/>
                  <w:effect w:val="non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21">
              <w:r>
                <w:rPr>
                  <w:rStyle w:val="InternetLink"/>
                  <w:rFonts w:ascii="Times New Roman;sans-serif" w:hAnsi="Times New Roman;sans-serif"/>
                  <w:b w:val="false"/>
                  <w:color w:val="0000FF"/>
                  <w:sz w:val="20"/>
                  <w:u w:val="single"/>
                </w:rPr>
                <w:t>Other Information</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21">
              <w:r>
                <w:rPr>
                  <w:rStyle w:val="InternetLink"/>
                  <w:rFonts w:ascii="Times New Roman;sans-serif" w:hAnsi="Times New Roman;sans-serif"/>
                  <w:b w:val="false"/>
                  <w:strike w:val="false"/>
                  <w:dstrike w:val="false"/>
                  <w:color w:val="000000"/>
                  <w:sz w:val="20"/>
                  <w:u w:val="none"/>
                  <w:effect w:val="none"/>
                </w:rPr>
                <w:t>26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24">
              <w:r>
                <w:rPr>
                  <w:rStyle w:val="InternetLink"/>
                  <w:rFonts w:ascii="Times New Roman;sans-serif" w:hAnsi="Times New Roman;sans-serif"/>
                  <w:b w:val="false"/>
                  <w:strike w:val="false"/>
                  <w:dstrike w:val="false"/>
                  <w:color w:val="000000"/>
                  <w:sz w:val="20"/>
                  <w:u w:val="none"/>
                  <w:effect w:val="non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24">
              <w:r>
                <w:rPr>
                  <w:rStyle w:val="InternetLink"/>
                  <w:rFonts w:ascii="Times New Roman;sans-serif" w:hAnsi="Times New Roman;sans-serif"/>
                  <w:b w:val="false"/>
                  <w:color w:val="0000FF"/>
                  <w:sz w:val="20"/>
                  <w:u w:val="single"/>
                </w:rPr>
                <w:t>Exhibits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24">
              <w:r>
                <w:rPr>
                  <w:rStyle w:val="InternetLink"/>
                  <w:rFonts w:ascii="Times New Roman;sans-serif" w:hAnsi="Times New Roman;sans-serif"/>
                  <w:b w:val="false"/>
                  <w:strike w:val="false"/>
                  <w:dstrike w:val="false"/>
                  <w:color w:val="000000"/>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included in this Form 10-Q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4"/>
        <w:gridCol w:w="40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6">
              <w:r>
                <w:rPr>
                  <w:rStyle w:val="InternetLink"/>
                  <w:rFonts w:ascii="Times New Roman;sans-serif" w:hAnsi="Times New Roman;sans-serif"/>
                  <w:b w:val="false"/>
                  <w:strike w:val="false"/>
                  <w:dstrike w:val="false"/>
                  <w:color w:val="000000"/>
                  <w:sz w:val="20"/>
                  <w:u w:val="none"/>
                  <w:effect w:val="none"/>
                </w:rPr>
                <w:t>2</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6">
              <w:r>
                <w:rPr>
                  <w:rStyle w:val="InternetLink"/>
                  <w:rFonts w:ascii="Times New Roman;sans-serif" w:hAnsi="Times New Roman;sans-serif"/>
                  <w:b w:val="false"/>
                  <w:color w:val="0000FF"/>
                  <w:sz w:val="20"/>
                  <w:u w:val="single"/>
                </w:rPr>
                <w:t>Condensed Consolidated Balance Sheets as of March 31, 2025 (unaudited) and December 31, 2024;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19">
              <w:r>
                <w:rPr>
                  <w:rStyle w:val="InternetLink"/>
                  <w:rFonts w:ascii="Times New Roman;sans-serif" w:hAnsi="Times New Roman;sans-serif"/>
                  <w:b w:val="false"/>
                  <w:strike w:val="false"/>
                  <w:dstrike w:val="false"/>
                  <w:color w:val="000000"/>
                  <w:sz w:val="20"/>
                  <w:u w:val="none"/>
                  <w:effect w:val="none"/>
                </w:rPr>
                <w:t>3</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19">
              <w:r>
                <w:rPr>
                  <w:rStyle w:val="InternetLink"/>
                  <w:rFonts w:ascii="Times New Roman;sans-serif" w:hAnsi="Times New Roman;sans-serif"/>
                  <w:b w:val="false"/>
                  <w:color w:val="0000FF"/>
                  <w:sz w:val="20"/>
                  <w:u w:val="single"/>
                </w:rPr>
                <w:t>Condensed Consolidated Statements of Operations for the Three Months Ended March 31, 2025 and 2024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22">
              <w:r>
                <w:rPr>
                  <w:rStyle w:val="InternetLink"/>
                  <w:rFonts w:ascii="Times New Roman;sans-serif" w:hAnsi="Times New Roman;sans-serif"/>
                  <w:b w:val="false"/>
                  <w:strike w:val="false"/>
                  <w:dstrike w:val="false"/>
                  <w:color w:val="000000"/>
                  <w:sz w:val="20"/>
                  <w:u w:val="none"/>
                  <w:effect w:val="none"/>
                </w:rPr>
                <w:t>4</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22">
              <w:r>
                <w:rPr>
                  <w:rStyle w:val="InternetLink"/>
                  <w:rFonts w:ascii="Times New Roman;sans-serif" w:hAnsi="Times New Roman;sans-serif"/>
                  <w:b w:val="false"/>
                  <w:color w:val="0000FF"/>
                  <w:sz w:val="20"/>
                  <w:u w:val="single"/>
                </w:rPr>
                <w:t>Condensed Consolidated Statements of Changes in Stockholders’ Equity for the Three Months Ended March 31, 2025 and 2024 (unaudited);</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25">
              <w:r>
                <w:rPr>
                  <w:rStyle w:val="InternetLink"/>
                  <w:rFonts w:ascii="Times New Roman;sans-serif" w:hAnsi="Times New Roman;sans-serif"/>
                  <w:b w:val="false"/>
                  <w:strike w:val="false"/>
                  <w:dstrike w:val="false"/>
                  <w:color w:val="000000"/>
                  <w:sz w:val="20"/>
                  <w:u w:val="none"/>
                  <w:effect w:val="none"/>
                </w:rPr>
                <w:t>6</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25">
              <w:r>
                <w:rPr>
                  <w:rStyle w:val="InternetLink"/>
                  <w:rFonts w:ascii="Times New Roman;sans-serif" w:hAnsi="Times New Roman;sans-serif"/>
                  <w:b w:val="false"/>
                  <w:color w:val="0000FF"/>
                  <w:sz w:val="20"/>
                  <w:u w:val="single"/>
                </w:rPr>
                <w:t>Condensed Consolidated Statements of Cash Flows for the Three Months Ended March 31, 2025 and 2024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ef331e0f4f64f92b27ffd36561adbcf_28">
              <w:r>
                <w:rPr>
                  <w:rStyle w:val="InternetLink"/>
                  <w:rFonts w:ascii="Times New Roman;sans-serif" w:hAnsi="Times New Roman;sans-serif"/>
                  <w:b w:val="false"/>
                  <w:strike w:val="false"/>
                  <w:dstrike w:val="false"/>
                  <w:color w:val="000000"/>
                  <w:sz w:val="20"/>
                  <w:u w:val="none"/>
                  <w:effect w:val="none"/>
                </w:rPr>
                <w:t>7</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ef331e0f4f64f92b27ffd36561adbcf_28">
              <w:r>
                <w:rPr>
                  <w:rStyle w:val="InternetLink"/>
                  <w:rFonts w:ascii="Times New Roman;sans-serif" w:hAnsi="Times New Roman;sans-serif"/>
                  <w:b w:val="false"/>
                  <w:color w:val="0000FF"/>
                  <w:sz w:val="20"/>
                  <w:u w:val="single"/>
                </w:rPr>
                <w:t>Notes to Condensed Consolidated Financial Statements (unaudited).</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14"/>
        <w:gridCol w:w="2296"/>
        <w:gridCol w:w="2307"/>
        <w:gridCol w:w="196"/>
        <w:gridCol w:w="740"/>
        <w:gridCol w:w="109"/>
        <w:gridCol w:w="109"/>
        <w:gridCol w:w="109"/>
        <w:gridCol w:w="109"/>
        <w:gridCol w:w="218"/>
        <w:gridCol w:w="822"/>
        <w:gridCol w:w="176"/>
      </w:tblGrid>
      <w:tr>
        <w:trPr/>
        <w:tc>
          <w:tcPr>
            <w:tcW w:w="30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of $335 at March 31, 2025 and December 31, 2024</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 rights,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assets,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Tradename and customer relationships,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deposits and other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assets </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117,047 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liabilities </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share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lease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54,170 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(See Note 11) </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Stockholders’ equity </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10,000,000 shares authorized, none issued and outstanding at March 31, 2025 and December 31, 2024</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$0.001 par value, 166,666,667 shares authorized, 20,234,186 and 20,194,697 shares issued at March 31, 2025 and December 31, 2024, respectively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$0.001 par value, 1,741,397 shares held at March 31, 2025 and December 31, 2024</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paid-in-capital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deficit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(84,368)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stockholders’ equity </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116,998 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171,168 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2532"/>
        <w:gridCol w:w="2224"/>
        <w:gridCol w:w="2236"/>
        <w:gridCol w:w="244"/>
        <w:gridCol w:w="837"/>
        <w:gridCol w:w="113"/>
        <w:gridCol w:w="113"/>
        <w:gridCol w:w="113"/>
        <w:gridCol w:w="113"/>
        <w:gridCol w:w="244"/>
        <w:gridCol w:w="837"/>
        <w:gridCol w:w="113"/>
        <w:gridCol w:w="109"/>
        <w:gridCol w:w="109"/>
        <w:gridCol w:w="109"/>
        <w:gridCol w:w="159"/>
      </w:tblGrid>
      <w:tr>
        <w:trPr/>
        <w:tc>
          <w:tcPr>
            <w:tcW w:w="2532"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presented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other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basic</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18,470,808 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18,170,108 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18,470,808 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18,170,108 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 basic</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 diluted</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 unaudited)</w:t>
      </w:r>
    </w:p>
    <w:tbl>
      <w:tblPr>
        <w:tblW w:w="10772" w:type="dxa"/>
        <w:jc w:val="left"/>
        <w:tblInd w:w="0" w:type="dxa"/>
        <w:tblLayout w:type="fixed"/>
        <w:tblCellMar>
          <w:top w:w="28" w:type="dxa"/>
          <w:left w:w="28" w:type="dxa"/>
          <w:bottom w:w="28" w:type="dxa"/>
          <w:right w:w="28" w:type="dxa"/>
        </w:tblCellMar>
      </w:tblPr>
      <w:tblGrid>
        <w:gridCol w:w="763"/>
        <w:gridCol w:w="248"/>
        <w:gridCol w:w="250"/>
        <w:gridCol w:w="540"/>
        <w:gridCol w:w="541"/>
        <w:gridCol w:w="211"/>
        <w:gridCol w:w="109"/>
        <w:gridCol w:w="109"/>
        <w:gridCol w:w="109"/>
        <w:gridCol w:w="237"/>
        <w:gridCol w:w="406"/>
        <w:gridCol w:w="123"/>
        <w:gridCol w:w="109"/>
        <w:gridCol w:w="109"/>
        <w:gridCol w:w="109"/>
        <w:gridCol w:w="495"/>
        <w:gridCol w:w="496"/>
        <w:gridCol w:w="211"/>
        <w:gridCol w:w="109"/>
        <w:gridCol w:w="109"/>
        <w:gridCol w:w="109"/>
        <w:gridCol w:w="273"/>
        <w:gridCol w:w="351"/>
        <w:gridCol w:w="142"/>
        <w:gridCol w:w="109"/>
        <w:gridCol w:w="109"/>
        <w:gridCol w:w="109"/>
        <w:gridCol w:w="211"/>
        <w:gridCol w:w="826"/>
        <w:gridCol w:w="109"/>
        <w:gridCol w:w="109"/>
        <w:gridCol w:w="109"/>
        <w:gridCol w:w="109"/>
        <w:gridCol w:w="236"/>
        <w:gridCol w:w="826"/>
        <w:gridCol w:w="124"/>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20,194,697 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20,234,186 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(1,741,397)</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(86,567)</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 unaudited)</w:t>
      </w:r>
    </w:p>
    <w:tbl>
      <w:tblPr>
        <w:tblW w:w="10862"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41"/>
        <w:gridCol w:w="414"/>
        <w:gridCol w:w="126"/>
        <w:gridCol w:w="109"/>
        <w:gridCol w:w="109"/>
        <w:gridCol w:w="109"/>
        <w:gridCol w:w="495"/>
        <w:gridCol w:w="496"/>
        <w:gridCol w:w="226"/>
        <w:gridCol w:w="109"/>
        <w:gridCol w:w="109"/>
        <w:gridCol w:w="109"/>
        <w:gridCol w:w="278"/>
        <w:gridCol w:w="358"/>
        <w:gridCol w:w="145"/>
        <w:gridCol w:w="109"/>
        <w:gridCol w:w="109"/>
        <w:gridCol w:w="109"/>
        <w:gridCol w:w="211"/>
        <w:gridCol w:w="826"/>
        <w:gridCol w:w="109"/>
        <w:gridCol w:w="109"/>
        <w:gridCol w:w="109"/>
        <w:gridCol w:w="109"/>
        <w:gridCol w:w="242"/>
        <w:gridCol w:w="847"/>
        <w:gridCol w:w="127"/>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19,899,679 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19,921,879 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(1,741,397)</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(71,157)</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122,538 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9820" w:type="dxa"/>
        <w:jc w:val="left"/>
        <w:tblInd w:w="0" w:type="dxa"/>
        <w:tblLayout w:type="fixed"/>
        <w:tblCellMar>
          <w:top w:w="28" w:type="dxa"/>
          <w:left w:w="28" w:type="dxa"/>
          <w:bottom w:w="28" w:type="dxa"/>
          <w:right w:w="28" w:type="dxa"/>
        </w:tblCellMar>
      </w:tblPr>
      <w:tblGrid>
        <w:gridCol w:w="2627"/>
        <w:gridCol w:w="2306"/>
        <w:gridCol w:w="2312"/>
        <w:gridCol w:w="221"/>
        <w:gridCol w:w="758"/>
        <w:gridCol w:w="114"/>
        <w:gridCol w:w="114"/>
        <w:gridCol w:w="114"/>
        <w:gridCol w:w="114"/>
        <w:gridCol w:w="221"/>
        <w:gridCol w:w="758"/>
        <w:gridCol w:w="161"/>
      </w:tblGrid>
      <w:tr>
        <w:trPr/>
        <w:tc>
          <w:tcPr>
            <w:tcW w:w="2627"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March 31,</w:t>
            </w:r>
          </w:p>
        </w:tc>
      </w:tr>
      <w:tr>
        <w:trPr/>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share payable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receivable and payable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employee withholding taxes related to the vesting of restricted stock units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long-term debt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AND CASH EQUIVALENTS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BEGINNING OF PERIOD</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END OF PERIOD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ans-serif" w:hAnsi="Times New Roman;sans-serif"/>
          <w:b w:val="false"/>
          <w:color w:val="000000"/>
          <w:sz w:val="20"/>
        </w:rPr>
        <w:t>The accompanying notes are an integral part of these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 1 – NATURE OF BUSINESS AND 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OptimizeRx Corporation and its wholly owned subsidiaries (collectively, the “Company”, “we”, “our”, or “us”).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digital healthcare technology company that connects over two million HCPs and millions of their patients through an intelligent technology platform embedded within a proprietary omnichannel network. OptimizeRx helps life science organizations engage and support their customers through our combined HCP and DTC marketing strategies.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for the three months ended March 31, 2025 and 2024 have been prepared by us without audit pursuant to the rules and regulations of the U.S. Securities and Exchange Commission (“SEC”). In the opinion of management, all adjustments necessary to present fairly our financial position at March 31, 2025, and our results of operations, changes in stockholders’ equity, and cash flows for the three months ended March 31, 2025 and 2024, have been made. Those adjustments consist of normal and recurring adjustments. The condensed consolidated balance sheet as of December 31, 2024, has been derived from the audited consolidated balance sheet as of that date. We operate a single reporting segment and, accordingly, use our consolidated net income as our measure of profit and loss and it is not presented separately here.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2024, as filed with the SEC on March 20, 2025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2025 are not necessarily indicative of the results to be expected for the full year.</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reportable segment and use consolidated net income as our measure of segment profit and loss. Overall, our business involves connecting life science companies to patients and providers. We have a common customer base of life sciences customers geographically located in the U.S. for all of our solutions, which primarily focus on all communications between our life sciences customers and with healthcare providers or patients. We do not prepare separate internal income statements by solution as our focus is on selling enterprise arrangements covering multiple solutions that span the entire patient journey with a specific brand.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operating decision maker (“CODM”) is our Chief Executive Officer (“CEO”). The CODM allocates resources and assesses performance of the business and other activities at the operating segment level. The CODM assesses performance for the operating segment and decides how to allocate resources based on net income (loss) that is also reported on the Condensed Consolidated Statement of Operations as consolidated net income (loss). The measure of segment assets is reported on the Condensed Consolidated Balance Sheets as total assets.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CODM uses consolidated net income (loss) to evaluate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Condensed Consolidated Statement of Operations for segment expenses, of which the significant expenses are related to cost of revenues, exclusive of depreciation and amortization, and operating expenses. Since we operate as one reportable segment, all required segment financial information is found 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lineRule="auto" w:line="288" w:before="2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NOTE 1 – NATURE OF BUSINESS AND BASIS OF PRESENTATION (CONTINUED)</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Fair Value of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upon the sale of an asset or paid upon the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based upon unadjusted quoted prices for identical instruments traded in active markets.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carrying amounts of financial instruments, including cash and cash equivalents, accounts receivable, accounts payable, and other current liabilities, approximate their fair values due to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2 – NEW ACCOUNTING PRONOUNCEMENTS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3 – CASH, CASH EQUIVALENTS AND SHORT-TERM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“Investments - Equity Securities”, as the shares have a readily determinable fair value quoted on the national stock exchange and are classified within Level 1 of the fair value hierarchy. At March 31, 2025 and December 31, 2024, we have recorded $8,391 and $8,300, respectively, of money market funds at approximate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4 - CAPITALIZED SOFTWARE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condensed consolidated statements of operations. Amortization of capitalized internal use software expense for the three months ended March 31, 2025 and 2024 was $91 and $71, respectively. The Company accumulates capitalizable costs related to current projects in a construction in process (“CIP”) software account, the balance of which was $378 and $320 at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5 - LONG-TERM DEBT</w:t>
      </w:r>
    </w:p>
    <w:p>
      <w:pPr>
        <w:pStyle w:val="TextBody"/>
        <w:bidi w:val="0"/>
        <w:spacing w:lineRule="auto" w:line="288" w:before="240" w:after="283"/>
        <w:ind w:left="0" w:right="0" w:hanging="180"/>
        <w:jc w:val="both"/>
        <w:rPr/>
      </w:pPr>
      <w:r>
        <w:rPr>
          <w:rFonts w:ascii="Times New Roman;sans-serif" w:hAnsi="Times New Roman;sans-serif"/>
          <w:b w:val="false"/>
          <w:color w:val="000000"/>
          <w:sz w:val="20"/>
        </w:rPr>
        <w:t>Long-term debt, net comprised of the following at March 31, 2025</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December 31, 2024:</w:t>
      </w:r>
    </w:p>
    <w:tbl>
      <w:tblPr>
        <w:tblW w:w="6364" w:type="dxa"/>
        <w:jc w:val="left"/>
        <w:tblInd w:w="0" w:type="dxa"/>
        <w:tblLayout w:type="fixed"/>
        <w:tblCellMar>
          <w:top w:w="28" w:type="dxa"/>
          <w:left w:w="28" w:type="dxa"/>
          <w:bottom w:w="28" w:type="dxa"/>
          <w:right w:w="28" w:type="dxa"/>
        </w:tblCellMar>
      </w:tblPr>
      <w:tblGrid>
        <w:gridCol w:w="1179"/>
        <w:gridCol w:w="1035"/>
        <w:gridCol w:w="1041"/>
        <w:gridCol w:w="211"/>
        <w:gridCol w:w="721"/>
        <w:gridCol w:w="109"/>
        <w:gridCol w:w="109"/>
        <w:gridCol w:w="109"/>
        <w:gridCol w:w="109"/>
        <w:gridCol w:w="255"/>
        <w:gridCol w:w="873"/>
        <w:gridCol w:w="132"/>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in 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11, 2023, the Company entered into a Financing Agreement (the “Financing Agreement”) which provided for a term loan (the “Term Loan”) of $40 million, the net proceeds of which were used to partially finance the Medicx Health transaction. In connection with the Term Loan the Company incurred issuance costs of approximately $2,270, which were capitalized and are being amortized to interest expense over the life of the Term Loan. Amortization of debt issuance costs for the three months ended March 31, 2025 and March 31, 2024 was $174 and $182,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Term Loan are secured by all of the Company’s and its subsidiaries’ assets (including a pledge of all of the capital stock and equity interests of its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required to make a mandatory prepayment on March 31, of each year, commencing with 2025, equivalent to Excess Cash Flow multiplied by a percentage factor of 25%, if the leverage ratio is 3.60 to 1.00 or less, 50% if the leverage ratio is greater than 3.60 to 1.00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5 – LONG-TERM DEBT (CONTINUED)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added back to net income in the calculation of Consolidated EBITDA, adjusted for any increase/decrease in working capital during the fiscal year.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March 31, 2024, the Company made total principal repayments of $0.5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Company’s option the Term Loan, or any portion thereof bears interest at either: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greater of (a) 4.00% per annum, (b) the Federal Funds Rate plus 0.50% per annum, (c) the one month Secured Overnight Financing Rate (“SOFR”), plus an adjustment of 26.161 basis point and 1.00% per annum, and (d) the rate last quoted by The Wall Street Journal as the “Prime Rate”, plus an Applicable Margin of 7.5%; or</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b.Three-month SOFR plus an adjustment of 26.161 basis points and an Applicable Margin of 8.5%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Term Loan bears interest at 13.1%, with an effective interest rate of 15.5% for the three months ended March 31, 2025, including the impact of the amortization of debt issuance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requires the Company to maintain certain maximum leverage ratios and Liquidity (as defined in the Financing Agreement), of at least $5.0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its financial covenants as of March 31,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due on the Term Loan in each of the next three years subsequent to March 31, 2025, are as follows:</w:t>
      </w:r>
    </w:p>
    <w:tbl>
      <w:tblPr>
        <w:tblW w:w="3005" w:type="dxa"/>
        <w:jc w:val="left"/>
        <w:tblInd w:w="0" w:type="dxa"/>
        <w:tblLayout w:type="fixed"/>
        <w:tblCellMar>
          <w:top w:w="28" w:type="dxa"/>
          <w:left w:w="28" w:type="dxa"/>
          <w:bottom w:w="28" w:type="dxa"/>
          <w:right w:w="28" w:type="dxa"/>
        </w:tblCellMar>
      </w:tblPr>
      <w:tblGrid>
        <w:gridCol w:w="695"/>
        <w:gridCol w:w="610"/>
        <w:gridCol w:w="614"/>
        <w:gridCol w:w="211"/>
        <w:gridCol w:w="72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(remainder)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6 –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operating leases with terms greater than 12 months for office space in four multi-tenant facilities, which are recorded as Operating lease right-of-use assets and Operating lease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Company’s lease cost consists of the following components, each of which is included in operating expenses within the Company’s condensed consolidated statements of operations:</w:t>
      </w:r>
    </w:p>
    <w:tbl>
      <w:tblPr>
        <w:tblW w:w="3713" w:type="dxa"/>
        <w:jc w:val="left"/>
        <w:tblInd w:w="0" w:type="dxa"/>
        <w:tblLayout w:type="fixed"/>
        <w:tblCellMar>
          <w:top w:w="28" w:type="dxa"/>
          <w:left w:w="28" w:type="dxa"/>
          <w:bottom w:w="28" w:type="dxa"/>
          <w:right w:w="28" w:type="dxa"/>
        </w:tblCellMar>
      </w:tblPr>
      <w:tblGrid>
        <w:gridCol w:w="651"/>
        <w:gridCol w:w="572"/>
        <w:gridCol w:w="576"/>
        <w:gridCol w:w="233"/>
        <w:gridCol w:w="399"/>
        <w:gridCol w:w="120"/>
        <w:gridCol w:w="120"/>
        <w:gridCol w:w="120"/>
        <w:gridCol w:w="120"/>
        <w:gridCol w:w="233"/>
        <w:gridCol w:w="399"/>
        <w:gridCol w:w="170"/>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33"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6 – LEASES (CONTINUED)</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future minimum lease payments to be made under operating leases in each of the remainder of the current and next four fiscal years and thereafter:</w:t>
      </w:r>
    </w:p>
    <w:tbl>
      <w:tblPr>
        <w:tblW w:w="3477" w:type="dxa"/>
        <w:jc w:val="left"/>
        <w:tblInd w:w="0" w:type="dxa"/>
        <w:tblLayout w:type="fixed"/>
        <w:tblCellMar>
          <w:top w:w="28" w:type="dxa"/>
          <w:left w:w="28" w:type="dxa"/>
          <w:bottom w:w="28" w:type="dxa"/>
          <w:right w:w="28" w:type="dxa"/>
        </w:tblCellMar>
      </w:tblPr>
      <w:tblGrid>
        <w:gridCol w:w="695"/>
        <w:gridCol w:w="611"/>
        <w:gridCol w:w="614"/>
        <w:gridCol w:w="211"/>
        <w:gridCol w:w="406"/>
        <w:gridCol w:w="109"/>
        <w:gridCol w:w="211"/>
        <w:gridCol w:w="46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(remainder)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discount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operating lease payments excludes approximately $269 of legally binding minimum lease payments for leases signed but which we have not yet commenced payments.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at March 31, 2025 for the operating leases is 2.6 years, and the weighted average discount rate used in calculating the operating lease asset and liability is 6.01%. Cash paid for amounts included in the measurement of lease liabilities was $60 and $54 for the three months ended March 31, 2025 and 2024, respectively. For the three months ended March 31, 2025 and 2024, payments on lease obligations were $68 and $65, respectively, and amortization on the right of use assets was $62 and $51,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7 – STOCKHOLDERS’ EQUITY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Preferred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10,000,000 shares of preferred stock, $0.001 par value per share, authorized as of March 31, 2025. No shares were issued or outstanding in either 2025 or 2024.</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166,666,667 shares of common stock, $0.001 par value per share, authorized as of March 31, 2025. There were 18,492,789 and 18,453,300 shares of common stock outstanding, net of shares held in treasury of 1,741,397 and 1,741,397 at March 31, 2025 and December 31, 2024, respectively.</w:t>
      </w:r>
    </w:p>
    <w:p>
      <w:pPr>
        <w:pStyle w:val="TextBody"/>
        <w:bidi w:val="0"/>
        <w:spacing w:lineRule="auto" w:line="288" w:before="240" w:after="283"/>
        <w:jc w:val="both"/>
        <w:rPr/>
      </w:pPr>
      <w:r>
        <w:rPr>
          <w:rFonts w:ascii="Times New Roman;sans-serif" w:hAnsi="Times New Roman;sans-serif"/>
          <w:b w:val="false"/>
          <w:color w:val="000000"/>
          <w:sz w:val="20"/>
        </w:rPr>
        <w:t>During the three months ended March 31, 2025, the Company issued no</w:t>
      </w:r>
      <w:r>
        <w:rPr>
          <w:color w:val="000000"/>
        </w:rPr>
        <w:t xml:space="preserve"> </w:t>
      </w:r>
      <w:r>
        <w:rPr>
          <w:rFonts w:ascii="Times New Roman;sans-serif" w:hAnsi="Times New Roman;sans-serif"/>
          <w:b w:val="false"/>
          <w:color w:val="000000"/>
          <w:sz w:val="20"/>
        </w:rPr>
        <w:t>shares of our common stock and received no proceeds in connection with the exercise of options under our 2013 Incentive Plan (the “2013 Plan”) and our 2021 Equity Incentive Plan (“2021 Plan”). The Company issued 39,489</w:t>
      </w:r>
      <w:r>
        <w:rPr>
          <w:color w:val="000000"/>
        </w:rPr>
        <w:t xml:space="preserve"> </w:t>
      </w:r>
      <w:r>
        <w:rPr>
          <w:rFonts w:ascii="Times New Roman;sans-serif" w:hAnsi="Times New Roman;sans-serif"/>
          <w:b w:val="false"/>
          <w:color w:val="000000"/>
          <w:sz w:val="20"/>
        </w:rPr>
        <w:t xml:space="preserve">shares of common stock in the three months ended March 31, 2025, in connection with the vesting of restricted stock units under our 2013 Plan and our 2021 Plan. Some of the participants utilized a net withhold settlement method, in which shares were surrendered to cover payroll withholding taxes. Of the shares issued to participants during the three months ended March 31, 2025, 14,038 shares, valued at $87, were surrendered and subsequently cancelled.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issued no shares of our common stock and received no proceeds in connection with the exercise of options under our 2013 Plan and our 2021 Plan. The Company issued 22,200 shares of common stock in the three months ended March 31, 2024, in connection with the vesting of restricted stock units under our 2013 Plan and our 2021 Plan. Some of the participants utilized a net withhold settlement method, in which shares were surrendered to cover payroll withholding taxes. Of the shares issued to participants during the three months ended March 31, 2024, 9,423 shares valued at $140 were surrendered in connection with the net withhold settlement method and were subsequently cancelled.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7 – STOCKHOLDERS’ EQUITY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 xml:space="preserve">Treasury Stock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quarter ended March 31, 2023, the Board authorized a share repurchase program, under which the Company could repurchase up to $15.0 million of its outstanding common stock. This stock repurchase authorization expired on March 12, 2024.</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During each of the quarters ended </w:t>
      </w:r>
      <w:r>
        <w:rPr>
          <w:rFonts w:ascii="Times New Roman;sans-serif" w:hAnsi="Times New Roman;sans-serif"/>
          <w:b w:val="false"/>
          <w:color w:val="000000"/>
          <w:sz w:val="20"/>
        </w:rPr>
        <w:t>March 31, 2025 and March 31, 2024</w:t>
      </w:r>
      <w:r>
        <w:rPr>
          <w:rFonts w:ascii="Times New Roman;sans-serif" w:hAnsi="Times New Roman;sans-serif"/>
          <w:b w:val="false"/>
          <w:color w:val="000000"/>
          <w:sz w:val="20"/>
          <w:shd w:fill="FFFFFF" w:val="clear"/>
        </w:rPr>
        <w:t>, the Company did not repurchase any of its outstanding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8 – STOCK 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two stock-based incentive compensation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first plan is known as the 2013 Plan and was established by the Board of Directors of the Company in June 2013. The 2013 Plan, as amended, authorized the issuance of 3,000,000 shares of Company common stock. The amended plan was approved by stockholders. In connection with the adoption of a new plan in 2021, the Company froze the 2013 Plan. A total of 191,845 shares of common stock underlying options and 4,000 shares of common stock underlying restricted stock unit awards were outstanding at March 31, 2025. At March 31, 2025, there were no shares available for grant under the 2013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adopted a new plan known as the 2021 Plan. The plan was established by the Board of Directors and approved by stockholders in August 2021. On June 5, 2024, at the 2024 Annual Meeting of Stockholders, the Company's stockholders approved an amendment to the 2021 Plan to increase the number of shares of common stock available for awards under the 2021 Plan by 1,950,000 shares for a total of 4,450,000 shares. A total of 1,500,037 shares of common stock underlying options and 614,465 shares of common stock underlying restricted stock unit awards were outstanding at March 31, 2025. At March 31, 2025, 1,183,398 shares were available for grant under the 2021 Plan.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expense that has been charged against income related to options for the three months ended March 31, 2025 and 2024 was $579 and $1,353, respectively. There is $2,897 of remaining expense related to unvested options to be recognized in the future over a weighted average period of 2 years. The total intrinsic value of outstanding options at March 31, 2025 was $2,394. The fair value of these instruments was calculated using the Black-Scholes option pricing model.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the Company granted certain performance-based stock options, the expense for which will be recorded over time once the achievement of the performance is deemed probable. There was $8 in expense related to these options recorded during the quarter ended March 31, 2025. There was no expense related to these options for the three months ended March 31, 2024.</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$979 and $1,671 in compensation expense related to restricted stock units for the three months ended March 31, 2025 and March 31, 2024, respectively. A total of $3,996 remains to be recognized at March 31, 2025 over a weighted average period of 1.81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the Company granted certain performance-based restricted stock units, the expense for which will be recorded over time once the achievement of the performance is deemed probable. There was $8 in expense related to these restricted stock units recorded during the quarter ended March 31, 2025. There was no expense related to these restricted stock units recorded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8 – STOCK BASED COMPENSATION (CONTINUED)</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Non-employee Directors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compensation program calls for the grant of restricted stock units with a one year vesting period. There was $173 and $199 included in the compensation expense discussed above related to director's compensation for the three months ended March 31, 2025 and March 31, 2024,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Award Modification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16, 2023, the Compensation Committee approved a grant to the Company’s then CEO of 86,685 restricted stock units and 161,698 stock options with a grant date fair value of $2,500 to vest over a three year period. Concurrently, the then CEO forfeited his October 2021 grant of 182,398 market-based restricted stock units. The forfeiture and accompanying grant were considered an equity modification according to ASC 718, Compensation-Stock Compensation (“ASC 718”). The additional compensation value created by the termination and issuance of new equity awarded, as measured using a Monte Carlo simulation, was approximately $1,900 in total. Under ASC 718 this results in a non-cash expense in current and future periods to be recognized over a three-year period. These expense values are reflected and included in the option and restricted stock expense values discussed above. At December 31, 2024, the remaining expense of $1,556 related to the October 2021 grant of market-based restricted stock units was accelerated upon the departure of the CEO. The expense for unvested stock-options and restricted stock units related to the April 2023 grant was reversed.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9 –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Topic 606, Revenue from Contracts with Customers, 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 alone basis or as a complement to content delivery. Additional services include set up, and reporting. We consider these services to be complimentary to the primary performance obligation and recognized through performance of delivery of content or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contracts which are satisfied at a point in time, primarily for consulting projects or NPI data target lists. For such contracts, we recognize revenue upon delivery of the related data, study or report.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are generally all less than one year and the primary performance obligation is delivery of messages, or our forms of content, but the contract may contain additional services. The net contract balance for contracts in progress at March 31, 2025 and December 31, 2024, was $35,342 and $4,288, respectively. The outstanding performance obligations are expected to be satisfied during the year ending December 31,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9 - REVENUES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2024 and during the first three months of 2025, there were two contracts with customers that included a rebate clause.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included Software as a Service, the revenue is recognized over the subscription period as services are delivered to the customer.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In instances where the Company resells these messaging solutions and has all financial risk and significant operation input and risk, the Company records the revenue based on the gross amount sold and the amount paid to the channel partner as a cost of sales. The amount of revenue recognized as an agent on a net basis was $3,373 and $2,625 for the three months ended March 31, 2025 and March 31, 2024, respectively.</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several signed contracts with customers for the distribution of messaging, or other services, which include payment in advance. The payments are not recorded as revenue until the revenue is earned under our revenue recognition policy. Deferred revenue was $511 and </w:t>
      </w:r>
      <w:r>
        <w:rPr>
          <w:rFonts w:ascii="Times New Roman;sans-serif" w:hAnsi="Times New Roman;sans-serif"/>
          <w:b w:val="false"/>
          <w:color w:val="000000"/>
          <w:sz w:val="20"/>
          <w:shd w:fill="FFFFFF" w:val="clear"/>
        </w:rPr>
        <w:t>$473</w:t>
      </w:r>
      <w:r>
        <w:rPr>
          <w:color w:val="000000"/>
        </w:rPr>
        <w:t xml:space="preserve"> </w:t>
      </w:r>
      <w:r>
        <w:rPr>
          <w:rFonts w:ascii="Times New Roman;sans-serif" w:hAnsi="Times New Roman;sans-serif"/>
          <w:b w:val="false"/>
          <w:color w:val="000000"/>
          <w:sz w:val="20"/>
        </w:rPr>
        <w:t>as of March 31, 2025 and December 31, 2024, respectively. The contracts are all short term in nature and all revenue is expected to be recognized within 12 months, or less. The following is a summary of activity for the deferred revenue account:</w:t>
      </w:r>
    </w:p>
    <w:tbl>
      <w:tblPr>
        <w:tblW w:w="3754" w:type="dxa"/>
        <w:jc w:val="left"/>
        <w:tblInd w:w="0" w:type="dxa"/>
        <w:tblLayout w:type="fixed"/>
        <w:tblCellMar>
          <w:top w:w="28" w:type="dxa"/>
          <w:left w:w="28" w:type="dxa"/>
          <w:bottom w:w="28" w:type="dxa"/>
          <w:right w:w="28" w:type="dxa"/>
        </w:tblCellMar>
      </w:tblPr>
      <w:tblGrid>
        <w:gridCol w:w="646"/>
        <w:gridCol w:w="566"/>
        <w:gridCol w:w="572"/>
        <w:gridCol w:w="215"/>
        <w:gridCol w:w="475"/>
        <w:gridCol w:w="109"/>
        <w:gridCol w:w="109"/>
        <w:gridCol w:w="109"/>
        <w:gridCol w:w="109"/>
        <w:gridCol w:w="215"/>
        <w:gridCol w:w="475"/>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collected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Disaggregation of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ASC Topic 606, we have disaggregated our revenue by timing of revenue recognition. The majority of our revenue is recognized over time as solutions are provided. A small portion of our revenue related to program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9 - REVENUES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solution architect design, and other solutions is recognized at a point in time upon delivery to customers. A break down is set forth in the table below.</w:t>
      </w:r>
    </w:p>
    <w:tbl>
      <w:tblPr>
        <w:tblW w:w="6099" w:type="dxa"/>
        <w:jc w:val="left"/>
        <w:tblInd w:w="0" w:type="dxa"/>
        <w:tblLayout w:type="fixed"/>
        <w:tblCellMar>
          <w:top w:w="28" w:type="dxa"/>
          <w:left w:w="28" w:type="dxa"/>
          <w:bottom w:w="28" w:type="dxa"/>
          <w:right w:w="28" w:type="dxa"/>
        </w:tblCellMar>
      </w:tblPr>
      <w:tblGrid>
        <w:gridCol w:w="1163"/>
        <w:gridCol w:w="1022"/>
        <w:gridCol w:w="1024"/>
        <w:gridCol w:w="211"/>
        <w:gridCol w:w="721"/>
        <w:gridCol w:w="109"/>
        <w:gridCol w:w="109"/>
        <w:gridCol w:w="109"/>
        <w:gridCol w:w="109"/>
        <w:gridCol w:w="211"/>
        <w:gridCol w:w="721"/>
        <w:gridCol w:w="109"/>
        <w:gridCol w:w="109"/>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at a point in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changes in the allowance for credit losses for the:</w:t>
      </w:r>
    </w:p>
    <w:tbl>
      <w:tblPr>
        <w:tblW w:w="4585" w:type="dxa"/>
        <w:jc w:val="left"/>
        <w:tblInd w:w="0" w:type="dxa"/>
        <w:tblLayout w:type="fixed"/>
        <w:tblCellMar>
          <w:top w:w="28" w:type="dxa"/>
          <w:left w:w="28" w:type="dxa"/>
          <w:bottom w:w="28" w:type="dxa"/>
          <w:right w:w="28" w:type="dxa"/>
        </w:tblCellMar>
      </w:tblPr>
      <w:tblGrid>
        <w:gridCol w:w="799"/>
        <w:gridCol w:w="701"/>
        <w:gridCol w:w="705"/>
        <w:gridCol w:w="211"/>
        <w:gridCol w:w="466"/>
        <w:gridCol w:w="109"/>
        <w:gridCol w:w="109"/>
        <w:gridCol w:w="109"/>
        <w:gridCol w:w="109"/>
        <w:gridCol w:w="211"/>
        <w:gridCol w:w="466"/>
        <w:gridCol w:w="109"/>
        <w:gridCol w:w="109"/>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record revenue based on our revenue recognition policies in advance of being able to invoice the customer, or we may invoice the customer prior to being able to recognize the revenue. Included in accounts receivable are unbilled amounts of $4,240 and $3,241 at March 31, 2025 and December 31, 2024, respectively. Amounts billed in advance of revenue recognition are presented as deferred revenue on the condensed consolidated balance sheets.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transactions include transactions between the Company and its stockholders, management, or affiliates. The following transactions were in the normal course of operations and were measured and recorded at the exchange amount, which is the amount of consideration established and agreed to by the parties.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 at the time of the acquisition and recorded the patent at that cost. That patent remains in Patents Rights on the condensed consolidated balance sheet as of March 31, 2025 and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Jim Lang, one of our Board Members, is the CEO of Eversana, a leading global provider of services to the life sciences industry. Eversana is similar to other customers from which we generate revenue, such as agencies or resellers. During the three months ended March 31, 2025 and March 31, 2024, we have recognized $242 and $72, respectively, in revenue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9 - REVENUES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contracts engaged with Eversana. These contracts were sourced by Eversana on behalf of life science customers of theirs. The contracts are at market rates and were generated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10 – LOSS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(loss) by the weighted average number of common shares outstanding during the period.</w:t>
      </w:r>
    </w:p>
    <w:p>
      <w:pPr>
        <w:pStyle w:val="TextBody"/>
        <w:bidi w:val="0"/>
        <w:spacing w:lineRule="auto" w:line="288" w:before="240" w:after="283"/>
        <w:jc w:val="both"/>
        <w:rPr/>
      </w:pPr>
      <w:r>
        <w:rPr>
          <w:rFonts w:ascii="Times New Roman;sans-serif" w:hAnsi="Times New Roman;sans-serif"/>
          <w:b w:val="false"/>
          <w:color w:val="000000"/>
          <w:sz w:val="20"/>
        </w:rPr>
        <w:t xml:space="preserve">The number of shares related to options and restricted stock units included in diluted EPS is based on the “Treasury Stock Method” prescribed in ASC 260-10,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that could be included in the calculation of EPS in respect of the stock options and restricted stock units is dependent on this average stock price and will increase as the average stock price increases.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w:t>
      </w:r>
    </w:p>
    <w:tbl>
      <w:tblPr>
        <w:tblW w:w="9323" w:type="dxa"/>
        <w:jc w:val="left"/>
        <w:tblInd w:w="0" w:type="dxa"/>
        <w:tblLayout w:type="fixed"/>
        <w:tblCellMar>
          <w:top w:w="28" w:type="dxa"/>
          <w:left w:w="28" w:type="dxa"/>
          <w:bottom w:w="28" w:type="dxa"/>
          <w:right w:w="28" w:type="dxa"/>
        </w:tblCellMar>
      </w:tblPr>
      <w:tblGrid>
        <w:gridCol w:w="2214"/>
        <w:gridCol w:w="1950"/>
        <w:gridCol w:w="1971"/>
        <w:gridCol w:w="270"/>
        <w:gridCol w:w="811"/>
        <w:gridCol w:w="109"/>
        <w:gridCol w:w="109"/>
        <w:gridCol w:w="109"/>
        <w:gridCol w:w="109"/>
        <w:gridCol w:w="270"/>
        <w:gridCol w:w="811"/>
        <w:gridCol w:w="109"/>
        <w:gridCol w:w="109"/>
        <w:gridCol w:w="109"/>
        <w:gridCol w:w="109"/>
        <w:gridCol w:w="154"/>
      </w:tblGrid>
      <w:tr>
        <w:trPr/>
        <w:tc>
          <w:tcPr>
            <w:tcW w:w="221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used in computing net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warrants, and stock grants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18,470,808 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18,170,108 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common shares potentially issuable upon the exercise of certain options and the vesting of certain restricted stock units that were excluded from the diluted loss per common share calculation are reflected in the table below.</w:t>
      </w:r>
    </w:p>
    <w:tbl>
      <w:tblPr>
        <w:tblW w:w="8153" w:type="dxa"/>
        <w:jc w:val="left"/>
        <w:tblInd w:w="0" w:type="dxa"/>
        <w:tblLayout w:type="fixed"/>
        <w:tblCellMar>
          <w:top w:w="28" w:type="dxa"/>
          <w:left w:w="28" w:type="dxa"/>
          <w:bottom w:w="28" w:type="dxa"/>
          <w:right w:w="28" w:type="dxa"/>
        </w:tblCellMar>
      </w:tblPr>
      <w:tblGrid>
        <w:gridCol w:w="1803"/>
        <w:gridCol w:w="1583"/>
        <w:gridCol w:w="1594"/>
        <w:gridCol w:w="413"/>
        <w:gridCol w:w="413"/>
        <w:gridCol w:w="208"/>
        <w:gridCol w:w="208"/>
        <w:gridCol w:w="208"/>
        <w:gridCol w:w="208"/>
        <w:gridCol w:w="412"/>
        <w:gridCol w:w="414"/>
        <w:gridCol w:w="208"/>
        <w:gridCol w:w="109"/>
        <w:gridCol w:w="109"/>
        <w:gridCol w:w="109"/>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for the periods ended</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108,204 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11 – COMMITMENTS AND CONTINGENCIES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Litigation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or be subject to claims arising in the ordinary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OPTIMIZERX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excepts share and per share data, 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11 – COMMITMENTS AND CONTINGENCIES (CONTINUED)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course of our business. We are currently not a party to any material legal or administrative proceedings, and we are not aware of any pending or threatened material legal or administrative proceedings against us.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Commitments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arrangements with partners to acquire minimum amounts of media, data or messaging capabilities. As of March 31, 2025, the Company had commitments for future minimum payments of $16.6 million that will be reflected in cost of revenues during the years from 2025 through 2029. Minimum payments are due in the remainder of 2025 and fiscal 2026 and 2027 in the amounts of $10.9 million, $4.1 million and $1.6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12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reported a benefit from income taxes of $1,085 for the three months ended March 31, 2025, representing an effective tax rate of 33.0%. The effective tax rate for the three months ended March 31, 2025 reflects the impact of certain permanent items and discrete items for the quarter related to projected decreases in our valuation allowance and to stock based compensation. There was no provision for or benefit from taxes in the three months ended March 31, 2025 in the jurisdictions of Croatia and Israel, as the Company carried a full valuation allowance against our net deferred tax assets due to our history of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to the extent it believes these assets are more-likely-than-not to be realized. In making such a determination, the Company considers all available positive and negative evidence, including future reversals of existing temporary differences, projected future taxable income, tax planning strategies and recent results of operations. On the basis of this evaluation, as of the quarter ended March 31, 2025, the valuation allowance has been reduced to $2.9 million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reported a provision for income taxes of $344 for the three months ended March 31, 2024, representing an effective tax rate of 5.2%. The effective tax rate for the three months ended March 31, 2024 reflects the impact of certain permanent items, projected increases in our valuation allowance during the year and discrete items for the quarter related to stock 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our annual report on Form 10-K for the year ended December 31, 2024, we had net operating loss carry-forwards for federal income tax purposes of approximately $11.6 million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13 – SUBSEQUENT EVENTS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lineRule="auto" w:line="288" w:before="240" w:after="283"/>
        <w:jc w:val="both"/>
        <w:rPr/>
      </w:pPr>
      <w:r>
        <w:rPr>
          <w:rFonts w:ascii="Times New Roman;sans-serif" w:hAnsi="Times New Roman;sans-serif"/>
          <w:b w:val="false"/>
          <w:color w:val="000000"/>
          <w:sz w:val="20"/>
        </w:rPr>
        <w:t xml:space="preserve">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platforms and electronic health record systems,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w:t>
      </w:r>
      <w:r>
        <w:rPr>
          <w:rFonts w:ascii="Times New Roman;sans-serif" w:hAnsi="Times New Roman;sans-serif"/>
          <w:b w:val="false"/>
          <w:color w:val="000000"/>
          <w:sz w:val="20"/>
          <w:shd w:fill="FFFFFF" w:val="clear"/>
        </w:rPr>
        <w:t>acquisition activities may disrupt ongoing business and may involve increased expenses; inability to realize the financial and strategic goals contemplated at the time of a transaction;</w:t>
      </w:r>
      <w:r>
        <w:rPr>
          <w:color w:val="000000"/>
        </w:rPr>
        <w:t xml:space="preserve"> </w:t>
      </w:r>
      <w:r>
        <w:rPr>
          <w:rFonts w:ascii="Times New Roman;sans-serif" w:hAnsi="Times New Roman;sans-serif"/>
          <w:b w:val="false"/>
          <w:color w:val="000000"/>
          <w:sz w:val="20"/>
        </w:rPr>
        <w:t xml:space="preserve">inability to realize any synergies or other anticipated benefits of an acquisition or that such synergies or benefits may take longer than anticipated to be realized; risk that the integration with an acquired entity may be more costly or difficult than expected; </w:t>
      </w:r>
      <w:r>
        <w:rPr>
          <w:rFonts w:ascii="Times New Roman;sans-serif" w:hAnsi="Times New Roman;sans-serif"/>
          <w:b w:val="false"/>
          <w:color w:val="000000"/>
          <w:sz w:val="20"/>
          <w:shd w:fill="FFFFFF" w:val="clear"/>
        </w:rPr>
        <w:t>impairment charges for goodwill or other long-lived assets may need to be recognized or increased if we lose a major customer, experience a decline in our common stock price, or experience changes to the regulatory environment affecting pharmaceutical advertising restricting the use of our technology;</w:t>
      </w:r>
      <w:r>
        <w:rPr>
          <w:color w:val="000000"/>
        </w:rPr>
        <w:t xml:space="preserve"> </w:t>
      </w:r>
      <w:r>
        <w:rPr>
          <w:rFonts w:ascii="Times New Roman;sans-serif" w:hAnsi="Times New Roman;sans-serif"/>
          <w:b w:val="false"/>
          <w:color w:val="000000"/>
          <w:sz w:val="20"/>
        </w:rPr>
        <w:t>inability to comply with the restrictions in our credit agreement; inability to generate sufficient cash to service debt and fund other obligations; inability to raise capital to grow business on favorable terms or at all;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2024. Moreover, we operate in a rapidly changing and competitive environment. New risk factors emerge from time to time, and it is not possible for management to predict all such risk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OptimizeRx has historically generated revenue by delivering messages to HCPs via their EHR systems and eRx platforms using our proprietary network of channel partners. We have gradually expanded our offerings to include audience development, audience creation, and media execution across different messaging types and media distribution channels.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AI-powered DAAP, which uses sophisticated machine-learning algorithms to find the best audiences in the correct channels at the right time.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 Concentration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pharmaceutical industry is dominated by large companies with multiple brands, our revenue is concentrated in a relatively small number of companies. We have approximately 100 pharmaceutical companies as customers, and our revenues are concentrated among the largest pharmaceutical companies in the world. Loss of one or more of our larger customers could have a negative impact on our operating results. Our top five customers represented approximately 49% and 44% of our revenue for the years ended December 31, 2024 and December 31, 2023, respectively. In 2024 and 2023, we had two customers and one customer, respectively, that represented more than 10% of our revenues.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Macroeconomic Events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conditions in the economy may negatively affect the growth of our business and our results of operations. For example, macroeconomic events including rising inflation and the U.S. Federal Reserve raising interest rates have led to economic uncertainty in the recent past, and threats of multinational tariffs and retaliatory tariffs provide uncertainty as to heightened inflation in the domestic markets in the next twelve months.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monitor the following key performance indicators to help us evaluate our </w:t>
      </w:r>
      <w:r>
        <w:rPr>
          <w:rFonts w:ascii="Times New Roman;sans-serif" w:hAnsi="Times New Roman;sans-serif"/>
          <w:b w:val="false"/>
          <w:color w:val="000000"/>
          <w:sz w:val="20"/>
        </w:rPr>
        <w:t>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2024 revenue”. We previously used “The top 20 pharma companies by 2023 revenue”. As a result of this change, prior periods have been restated for comparative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color w:val="000000"/>
          <w:sz w:val="20"/>
        </w:rPr>
        <w:t xml:space="preserve">Average revenue per top 20 pharmaceutical manufacturer. </w:t>
      </w:r>
      <w:r>
        <w:rPr>
          <w:rFonts w:ascii="Times New Roman;sans-serif" w:hAnsi="Times New Roman;sans-serif"/>
          <w:b w:val="false"/>
          <w:color w:val="000000"/>
          <w:sz w:val="20"/>
        </w:rPr>
        <w:t>Average revenue per top 20 pharmaceutical manufacturer is calculated by taking the total revenue the Company recognized through pharmaceutical manufacturers listed in Fierce Pharma’s “The top 20 pharma companies by 2024 revenue” over the last twelve months, divided by 20, representing the aforementioned pharmaceutical manufacturers highlighted on that list.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the twelve months ended March 31, 2025, as compared to the twelve months ended March 31, 2024, is primarily the result of stronger DTC and DAAP related revenue streams (in thousands).</w:t>
      </w:r>
    </w:p>
    <w:tbl>
      <w:tblPr>
        <w:tblW w:w="6999" w:type="dxa"/>
        <w:jc w:val="left"/>
        <w:tblInd w:w="0" w:type="dxa"/>
        <w:tblLayout w:type="fixed"/>
        <w:tblCellMar>
          <w:top w:w="28" w:type="dxa"/>
          <w:left w:w="28" w:type="dxa"/>
          <w:bottom w:w="28" w:type="dxa"/>
          <w:right w:w="28" w:type="dxa"/>
        </w:tblCellMar>
      </w:tblPr>
      <w:tblGrid>
        <w:gridCol w:w="1723"/>
        <w:gridCol w:w="1514"/>
        <w:gridCol w:w="1518"/>
        <w:gridCol w:w="211"/>
        <w:gridCol w:w="616"/>
        <w:gridCol w:w="109"/>
        <w:gridCol w:w="109"/>
        <w:gridCol w:w="109"/>
        <w:gridCol w:w="109"/>
        <w:gridCol w:w="211"/>
        <w:gridCol w:w="616"/>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Rolling Twelve Months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Ended March 31,</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top 20 pharmaceutical manufacturer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color w:val="000000"/>
          <w:sz w:val="20"/>
        </w:rPr>
        <w:t>Percent of total revenue attributable to top 20 pharmaceutical manufacturers.</w:t>
      </w:r>
      <w:r>
        <w:rPr>
          <w:color w:val="000000"/>
        </w:rPr>
        <w:t xml:space="preserve"> </w:t>
      </w:r>
      <w:r>
        <w:rPr>
          <w:rFonts w:ascii="Times New Roman;sans-serif" w:hAnsi="Times New Roman;sans-serif"/>
          <w:b w:val="false"/>
          <w:color w:val="000000"/>
          <w:sz w:val="20"/>
        </w:rPr>
        <w:t>Percent of total revenue attributable to top 20 pharmaceutical manufacturers is calculated by taking the total revenue the company recognized through pharmaceutical manufacturers listed in Fierce Pharma’s “The top 20 pharma companies by 2024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This decrease in our total revenue attributable to top 20 pharmaceutical manufacturers, in conjunction with the increase in average revenue per top 20 pharmaceutical manufacturer discussed above, is reflective of the onboarding and growth of other customers that are not top 20 pharmaceutical manufacturers and not a decrease in our activity with top 20 pharmaceutical manufacturers.</w:t>
      </w:r>
    </w:p>
    <w:tbl>
      <w:tblPr>
        <w:tblW w:w="8504" w:type="dxa"/>
        <w:jc w:val="left"/>
        <w:tblInd w:w="0" w:type="dxa"/>
        <w:tblLayout w:type="fixed"/>
        <w:tblCellMar>
          <w:top w:w="28" w:type="dxa"/>
          <w:left w:w="28" w:type="dxa"/>
          <w:bottom w:w="28" w:type="dxa"/>
          <w:right w:w="28" w:type="dxa"/>
        </w:tblCellMar>
      </w:tblPr>
      <w:tblGrid>
        <w:gridCol w:w="2277"/>
        <w:gridCol w:w="2001"/>
        <w:gridCol w:w="2006"/>
        <w:gridCol w:w="206"/>
        <w:gridCol w:w="174"/>
        <w:gridCol w:w="433"/>
        <w:gridCol w:w="174"/>
        <w:gridCol w:w="174"/>
        <w:gridCol w:w="174"/>
        <w:gridCol w:w="206"/>
        <w:gridCol w:w="174"/>
        <w:gridCol w:w="505"/>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Rolling Twelve Months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Ended March 31,</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total revenue attributable to top 20 pharmaceutical manufacturers</w:t>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color w:val="000000"/>
          <w:sz w:val="20"/>
        </w:rPr>
        <w:t>Net revenue retention.</w:t>
      </w:r>
      <w:r>
        <w:rPr>
          <w:color w:val="000000"/>
        </w:rPr>
        <w:t xml:space="preserve"> </w:t>
      </w:r>
      <w:r>
        <w:rPr>
          <w:rFonts w:ascii="Times New Roman;sans-serif" w:hAnsi="Times New Roman;sans-serif"/>
          <w:b w:val="false"/>
          <w:color w:val="000000"/>
          <w:sz w:val="20"/>
        </w:rPr>
        <w:t>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Net revenue retention for the period ending March 31, 2024, benefited from revenue related to the acquisition of Medicx Health, as the acquisition was not consummated during the prior year period. This benefit did not exist in the period ending March 31, 2025 which made for a more challenging year over year comparison.</w:t>
      </w:r>
    </w:p>
    <w:tbl>
      <w:tblPr>
        <w:tblW w:w="4267" w:type="dxa"/>
        <w:jc w:val="left"/>
        <w:tblInd w:w="0" w:type="dxa"/>
        <w:tblLayout w:type="fixed"/>
        <w:tblCellMar>
          <w:top w:w="28" w:type="dxa"/>
          <w:left w:w="28" w:type="dxa"/>
          <w:bottom w:w="28" w:type="dxa"/>
          <w:right w:w="28" w:type="dxa"/>
        </w:tblCellMar>
      </w:tblPr>
      <w:tblGrid>
        <w:gridCol w:w="679"/>
        <w:gridCol w:w="596"/>
        <w:gridCol w:w="600"/>
        <w:gridCol w:w="266"/>
        <w:gridCol w:w="200"/>
        <w:gridCol w:w="433"/>
        <w:gridCol w:w="174"/>
        <w:gridCol w:w="174"/>
        <w:gridCol w:w="174"/>
        <w:gridCol w:w="266"/>
        <w:gridCol w:w="200"/>
        <w:gridCol w:w="505"/>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Rolling Twelve Months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Ended March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retention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color w:val="000000"/>
          <w:sz w:val="20"/>
        </w:rPr>
        <w:t>Revenue per average full-time employee.</w:t>
      </w:r>
      <w:r>
        <w:rPr>
          <w:color w:val="000000"/>
        </w:rPr>
        <w:t xml:space="preserve"> </w:t>
      </w:r>
      <w:r>
        <w:rPr>
          <w:rFonts w:ascii="Times New Roman;sans-serif" w:hAnsi="Times New Roman;sans-serif"/>
          <w:b w:val="false"/>
          <w:color w:val="000000"/>
          <w:sz w:val="20"/>
        </w:rPr>
        <w:t xml:space="preserve">We define revenue per average full-time employee (“FTE”),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 employee increased year over year due to revenue growing at a higher rate than the average number of FTEs over the last 12 month period (in thousands).</w:t>
      </w:r>
    </w:p>
    <w:tbl>
      <w:tblPr>
        <w:tblW w:w="5564" w:type="dxa"/>
        <w:jc w:val="left"/>
        <w:tblInd w:w="0" w:type="dxa"/>
        <w:tblLayout w:type="fixed"/>
        <w:tblCellMar>
          <w:top w:w="28" w:type="dxa"/>
          <w:left w:w="28" w:type="dxa"/>
          <w:bottom w:w="28" w:type="dxa"/>
          <w:right w:w="28" w:type="dxa"/>
        </w:tblCellMar>
      </w:tblPr>
      <w:tblGrid>
        <w:gridCol w:w="1234"/>
        <w:gridCol w:w="1082"/>
        <w:gridCol w:w="1089"/>
        <w:gridCol w:w="234"/>
        <w:gridCol w:w="518"/>
        <w:gridCol w:w="121"/>
        <w:gridCol w:w="121"/>
        <w:gridCol w:w="121"/>
        <w:gridCol w:w="121"/>
        <w:gridCol w:w="234"/>
        <w:gridCol w:w="518"/>
        <w:gridCol w:w="171"/>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Rolling Twelve Months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Ended March 31,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average full-time employee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for the Three Months Ended March 31, 2025 and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sets forth, for the periods indicated, the dollar value and percentage of net revenue represented by certain items in our condensed consolidated statements of operations (in thousands):</w:t>
      </w:r>
    </w:p>
    <w:tbl>
      <w:tblPr>
        <w:tblW w:w="7483" w:type="dxa"/>
        <w:jc w:val="left"/>
        <w:tblInd w:w="0" w:type="dxa"/>
        <w:tblLayout w:type="fixed"/>
        <w:tblCellMar>
          <w:top w:w="28" w:type="dxa"/>
          <w:left w:w="28" w:type="dxa"/>
          <w:bottom w:w="28" w:type="dxa"/>
          <w:right w:w="28" w:type="dxa"/>
        </w:tblCellMar>
      </w:tblPr>
      <w:tblGrid>
        <w:gridCol w:w="1177"/>
        <w:gridCol w:w="1037"/>
        <w:gridCol w:w="1041"/>
        <w:gridCol w:w="211"/>
        <w:gridCol w:w="721"/>
        <w:gridCol w:w="109"/>
        <w:gridCol w:w="308"/>
        <w:gridCol w:w="308"/>
        <w:gridCol w:w="271"/>
        <w:gridCol w:w="109"/>
        <w:gridCol w:w="109"/>
        <w:gridCol w:w="109"/>
        <w:gridCol w:w="211"/>
        <w:gridCol w:w="721"/>
        <w:gridCol w:w="109"/>
        <w:gridCol w:w="308"/>
        <w:gridCol w:w="308"/>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42424"/>
                <w:sz w:val="20"/>
              </w:rPr>
            </w:pPr>
            <w:r>
              <w:rPr>
                <w:rFonts w:ascii="Times New Roman;sans-serif" w:hAnsi="Times New Roman;sans-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42424"/>
                <w:sz w:val="20"/>
              </w:rPr>
            </w:pPr>
            <w:r>
              <w:rPr>
                <w:rFonts w:ascii="Times New Roman;sans-serif" w:hAnsi="Times New Roman;sans-serif"/>
                <w:b/>
                <w:color w:val="242424"/>
                <w:sz w:val="20"/>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8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Balances and percentage of net revenue information may not add due to rounding</w:t>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revenue increased 11% to $21,928 for the three months ended March 31, 2025 from $19,690 from the same period in 2024. The increase in net revenue was a result of the growth of DTC and DAAP related sales.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revenues, composed primarily of revenue-share expense paid to our channel partners increased for the three months ended March 31, 2025 to $8,584 compared to $7,486 for the same period of 2024. Our cost of revenues as a percentage of revenue increased to approximately 39% for the three months ended March 31, 2025 from approximately 38% for the three months ended March 31, 2024. This increase in cost of revenues as a percentage of revenues was a primarily result of solution and channel partner mix.</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which is the difference between our revenues and our cost of revenues, divided by our revenues, decreased for the three months ended March 31, 2025 compared to the same period of 2024, primarily due to product and channel partner mix.</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decreased to approximately $15,458 for the three months ended March 31, 2025 from approximately $17,233 for the same period in 2024, a decrease of approximately 10%. The detail by major category is reflected in the next table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tbl>
      <w:tblPr>
        <w:tblW w:w="7042" w:type="dxa"/>
        <w:jc w:val="left"/>
        <w:tblInd w:w="0" w:type="dxa"/>
        <w:tblLayout w:type="fixed"/>
        <w:tblCellMar>
          <w:top w:w="28" w:type="dxa"/>
          <w:left w:w="28" w:type="dxa"/>
          <w:bottom w:w="28" w:type="dxa"/>
          <w:right w:w="28" w:type="dxa"/>
        </w:tblCellMar>
      </w:tblPr>
      <w:tblGrid>
        <w:gridCol w:w="1289"/>
        <w:gridCol w:w="1130"/>
        <w:gridCol w:w="1136"/>
        <w:gridCol w:w="244"/>
        <w:gridCol w:w="835"/>
        <w:gridCol w:w="126"/>
        <w:gridCol w:w="126"/>
        <w:gridCol w:w="126"/>
        <w:gridCol w:w="126"/>
        <w:gridCol w:w="244"/>
        <w:gridCol w:w="835"/>
        <w:gridCol w:w="126"/>
        <w:gridCol w:w="109"/>
        <w:gridCol w:w="109"/>
        <w:gridCol w:w="109"/>
        <w:gridCol w:w="109"/>
        <w:gridCol w:w="109"/>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expenses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decreased to $1,558 for the three months ended March 31, 2025 from $3,024 for the three months ended March 31, 2024. The decrease was a result of the lower grant date fair value of awards due to declines in the Company’s stock price as well as a decrease in the quantity of awards vesting.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to $1,094 for the three months ended March 31, 2025 from $1,067 for the three months ended March 31, 2024. The increase was a result of the additional amortization associated with capitalized labor for internal software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expenses decreased to $12,806 for the three months ended March 31, 2025 from $13,142 for the three months ended March 31, 2024. This decrease is primarily a result of a decrease of $297 in integration incentives costs.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decreased to $1,297 for the three months ended March 31, 2025 from $1,546 for the three months ended March 31, 2024 and represents interest charges on our Term Loan, together with the amortization of the related issuance costs. The decrease is primarily a result of the decrease in the interest rate on the Term Loan and a lower average principal balance for the three months ended March 31, 2025 as compared to the three months ended March 31,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to $88 for the three months ended March 31, 2025 from $20 for the three months ended March 31, 2024. The increase was a result of higher interest rates in our money market fund compared to the same period in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was approximately $1,085, or an effective rate of 33.0%, for the three months ended March 31, 2025. Income tax expense was approximately $344, or an effective rate of 5.2%, for the three months ended March 31, 2024. For further information, see Part I, Item I. Financial Statements; Note 12 — Income Taxes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net loss of approximately $(2,199) for the three months ended March 31, 2025, as compared to a net loss of approximately $(6,899) during the same period in 2024. The reasons and specific components associated with the change are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been cash receipts from customers and proceeds from equity offerings. In addition, on October 11, 2023, the Company entered into a Term loan of $40.0 million in order to partially fund the acquisition of Medicx Health. As of March 31, 2025, the total principal balance outstanding on the Term loan was approximately $33.8 million and we were in compliance with all of the financial covenants of the Term loan.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total current assets of approximately $51.7 million, compared with current liabilities of approximately $18.4 million, resulting in working capital of approximately $33.3 million and a current ratio of approximately 2.8 to 1. This represents a decrease from our working capital of approximately $35.3 million and an increase from the current ratio of 3.0 to 1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table with summary data from the condensed consolidated statements of cash flows for the three months ended March 31, 2025 and 2024, as presented (in thousands).</w:t>
      </w:r>
    </w:p>
    <w:tbl>
      <w:tblPr>
        <w:tblW w:w="6338" w:type="dxa"/>
        <w:jc w:val="left"/>
        <w:tblInd w:w="0" w:type="dxa"/>
        <w:tblLayout w:type="fixed"/>
        <w:tblCellMar>
          <w:top w:w="28" w:type="dxa"/>
          <w:left w:w="28" w:type="dxa"/>
          <w:bottom w:w="28" w:type="dxa"/>
          <w:right w:w="28" w:type="dxa"/>
        </w:tblCellMar>
      </w:tblPr>
      <w:tblGrid>
        <w:gridCol w:w="1254"/>
        <w:gridCol w:w="1104"/>
        <w:gridCol w:w="1107"/>
        <w:gridCol w:w="270"/>
        <w:gridCol w:w="790"/>
        <w:gridCol w:w="139"/>
        <w:gridCol w:w="139"/>
        <w:gridCol w:w="139"/>
        <w:gridCol w:w="139"/>
        <w:gridCol w:w="270"/>
        <w:gridCol w:w="790"/>
        <w:gridCol w:w="197"/>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provided $3,864 during the three months ended March 31, 2025, compared with $2,118 in the same period in 2024. The net increase in net cash provided by operating activities was mainly attributable to a $4,700 decrease in net loss. This was partially offset by a $1,466 decrease in noncash expense related to stock based compensation, a $881 decrease in cash flows from accounts receivable and a $754 decrease in cash flows from taxes receivable and payable.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used $84 for the three months ended March 31, 2025, compared with $153 in the same period in 2024. The decrease in net cash used in investing activities was mainly attributed to capitalization of internally developed software.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$587 during the three months ended March 31, 2025, compared with $640 in the same period in 2024. The decrease in net cash used for financing activities was primarily related to the decrease in payments of withholding taxes on behalf of employees vesting in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conformity with accounting principles generally accepted in the United States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stock-based compensation. Actual results could differ from those estimates and assumptions.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significant accounting policies are described in Note 2 to the Consolidated Financial Statements in the Annual Report on Form 10-K for the year ended December 31, 2024 (2024 Annual Report on Form 10-K). The accounting policies we used in preparing these financial statements are substantially consistent with those we applied in our 2024 Annual Report on Form 10-K.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in Management’s Discussion and Analysis included in the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Financial Accounting Standards Board (“FASB”) issued ASU No. 2023-09 (“ASU 2023-09”), Income Taxes (Topic 740): Improvements to Income Tax Disclosures. ASU 2023-09 addresses investor requests 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lineRule="auto" w:line="288" w:before="240" w:after="283"/>
        <w:jc w:val="both"/>
        <w:rPr/>
      </w:pPr>
      <w:r>
        <w:rPr>
          <w:rFonts w:ascii="Times New Roman;sans-serif" w:hAnsi="Times New Roman;sans-serif"/>
          <w:b w:val="false"/>
          <w:color w:val="000000"/>
          <w:sz w:val="20"/>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enters into arrangements with channel partners to acquire minimum amounts of media, data or messaging capabilities. As of March 31, 2025, the Company had commitments with channel partners for future minimum payments of $16.6 million that will be reflected in cost of revenues during the remainder of 2025 and years from 2026 through 2029. See Part I, Item 2. Financial Statements; Note 11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not effective at the reasonable assurance level due to a previously identified material weakness in our internal control over financial reporting related to controls to ensure that data received from third-party service organizations were complete and accurate.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material weakness referenced above, the Company performed additional analysis and performed other procedures in order to prepare the condensed consolidated financial statements in accordance with GAAP. Accordingly, management believes that the condensed consolidated financial statements included in this quarterly report on this Form 10-Q fairly present, in all material respects, our financial condition, results of operations and cash flows for the periods presented.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Ongoing Remediation of Previously Identified Material Weakness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As previously disclosed</w:t>
      </w:r>
      <w:r>
        <w:rPr>
          <w:rFonts w:ascii="Times New Roman;sans-serif" w:hAnsi="Times New Roman;sans-serif"/>
          <w:b w:val="false"/>
          <w:color w:val="000000"/>
          <w:sz w:val="20"/>
        </w:rPr>
        <w:t xml:space="preserve">, a material weakness in our internal control over financial reporting was identified which related to controls to ensure that data received from third-party service organizations were complete and accurate.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oversight from the Audit Committee of our Board of Directors,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address the above material weakness previously identified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requires each third-party service organization to provide us, at least annually, a SOC-1 Type 2 report, with adequate controls to ensure the data we receive are complete and accurate. We rely upon a SOC-1 Type 2 report from the service organizations attesting to the vendor’s internal controls.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b.If a SOC-1 Type 2 report is not available, the Company evaluates each third-party’s relevant system(s) and control environment reporting directly through inquiry and substantive testing of such third-party’s control environment to ensure the data we receive are complete and accurate.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c.If we are unable to obtain a valid SOC-1 Type 2 report or perform substantive testing of such third-party’s control environment, the Company implements a thirty-party qualification and program triaging process, which could include modifying customer contracts, limiting the volume of activity with those third-parties, and establishing other controls to ensure the completeness and accuracy of information received from those third-parties, such as performing tagging procedures where possible.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further execute on its remediation efforts of the material weakness, management took the following additional steps: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Hired a Senior Vice President of internal controls and engaged a third-party consulting firm.</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Developed a framework to assess whether data received from third-party service organizations were complete and accurate.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 will be considered remediated when management concludes that, through testing, the applicable remedial controls are designed and implemented effectively.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fully implemented and operational, we believe the measures described above will remediate the material weakness we have identified and strengthen our internal control over financial reporting. This material weakness will not be considered remediated until the newly implemented internal controls operate for a sufficient period of time and management has concluded, through testing, that these internal controls are operating effectively. We are working to have the material weakness remediated as soon as possible.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continuing to improve our internal control processes and will continue to review and assess our financial reporting controls and procedures on an ongoing basis. As we continue to evaluate and improve our internal control over financial reporting, our management may determine whether it is appropriate or necessary to take additional measures.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noted above, there was no change in our internal control over financial reporting (as defined in Rule 13a-15(f) under the Exchange Act), that occurred during the quarter ended March 31, 2025 that has materially affected, or is reasonably likely to materially affect, our internal control over financial reporting.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Limitations on the Effectiveness of Controls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changes in our risk factors from the risks previously reported in PART 1, ITEM 1A, “Risk Factors” of our Annual Report on Form 10-K for the year ended December 31, 2024. You should carefully consider the factors discussed in PART I, ITEM 1A, “Risk Factors” in our Annual Report on Form 10-K for the year ended December 31, 2024,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first quarter of 2025, none of our directors or executive officers adopted or terminated any “Rule 10b5-1 trading arrangement” or “non-Rule 10b5-1 trading arrangement” (as each term is defined in Item 408(a) of Registration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94"/>
        <w:gridCol w:w="345"/>
        <w:gridCol w:w="347"/>
        <w:gridCol w:w="109"/>
        <w:gridCol w:w="109"/>
        <w:gridCol w:w="109"/>
        <w:gridCol w:w="2693"/>
        <w:gridCol w:w="2516"/>
        <w:gridCol w:w="3583"/>
      </w:tblGrid>
      <w:tr>
        <w:trPr/>
        <w:tc>
          <w:tcPr>
            <w:tcW w:w="39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83"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108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ans-serif" w:hAnsi="Times New Roman;sans-serif"/>
                  <w:b w:val="false"/>
                  <w:color w:val="0000FF"/>
                  <w:sz w:val="20"/>
                  <w:u w:val="single"/>
                </w:rPr>
                <w:t>Amended OptimizeRx Corporation Executive Severance Plan, dated March 7, 2025. Incorporated by reference to Exhibit 10.19 to the Company’s Annual Report on Form 10-K for the year ended December 31, 2024.</w:t>
              </w:r>
            </w:hyperlink>
          </w:p>
          <w:p>
            <w:pPr>
              <w:pStyle w:val="TableContents"/>
              <w:bidi w:val="0"/>
              <w:spacing w:before="0" w:after="0"/>
              <w:jc w:val="both"/>
              <w:rPr/>
            </w:pPr>
            <w:r>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ans-serif" w:hAnsi="Times New Roman;sans-serif"/>
                  <w:b w:val="false"/>
                  <w:color w:val="0000FF"/>
                  <w:sz w:val="20"/>
                  <w:u w:val="single"/>
                </w:rPr>
                <w:t>Amendment No. 3 to Financing Agreement, dated February 5, 2025. Incorporated by reference to Exhibit 10.22 to the Company’s Annual Report on Form 10-K for the year ended December 31, 2024.</w:t>
              </w:r>
            </w:hyperlink>
          </w:p>
          <w:p>
            <w:pPr>
              <w:pStyle w:val="TableContents"/>
              <w:bidi w:val="0"/>
              <w:spacing w:before="0" w:after="0"/>
              <w:jc w:val="both"/>
              <w:rPr/>
            </w:pPr>
            <w:r>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ans-serif" w:hAnsi="Times New Roman;sans-serif"/>
                  <w:b w:val="false"/>
                  <w:color w:val="0000FF"/>
                  <w:sz w:val="20"/>
                  <w:u w:val="single"/>
                </w:rPr>
                <w:t>Separation and Advisory Agreement executed as of January 3, 2025 by and between the Company and William J. Febbo. Incorporated by reference to Exhibit 10.1 to the Company’s Current Report on Form 8-K filed on January 10, 2025.</w:t>
              </w:r>
            </w:hyperlink>
          </w:p>
          <w:p>
            <w:pPr>
              <w:pStyle w:val="TableContents"/>
              <w:bidi w:val="0"/>
              <w:spacing w:before="0" w:after="0"/>
              <w:jc w:val="both"/>
              <w:rPr/>
            </w:pPr>
            <w:r>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ans-serif" w:hAnsi="Times New Roman;sans-serif"/>
                  <w:b w:val="false"/>
                  <w:color w:val="0000FF"/>
                  <w:sz w:val="20"/>
                  <w:u w:val="single"/>
                </w:rPr>
                <w:t>Amended and Restated Employment Letter, dated as of March 7, 2025 by and between the Company and Stephen Silvestro Incorporated by reference to Exhibit 10.1 to the Company’s Current Report on Form 8-K filed on March 10, 2025.</w:t>
              </w:r>
            </w:hyperlink>
          </w:p>
          <w:p>
            <w:pPr>
              <w:pStyle w:val="TableContents"/>
              <w:bidi w:val="0"/>
              <w:spacing w:before="0" w:after="0"/>
              <w:jc w:val="both"/>
              <w:rPr/>
            </w:pPr>
            <w:r>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oprx-20250331xex311.htm">
              <w:r>
                <w:rPr>
                  <w:rStyle w:val="InternetLink"/>
                  <w:rFonts w:ascii="Times New Roman;sans-serif" w:hAnsi="Times New Roman;sans-serif"/>
                  <w:b w:val="false"/>
                  <w:color w:val="0000EE"/>
                  <w:sz w:val="20"/>
                  <w:u w:val="single"/>
                </w:rPr>
                <w:t>Certification of Chief Executive Officer pursuant to 18 U.S.C. Section 1350, as adopted pursuant to Section 302 of the Sarbanes-Oxley Act of 2002</w:t>
              </w:r>
            </w:hyperlink>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oprx-20250331xex312.htm">
              <w:r>
                <w:rPr>
                  <w:rStyle w:val="InternetLink"/>
                  <w:rFonts w:ascii="Times New Roman;sans-serif" w:hAnsi="Times New Roman;sans-serif"/>
                  <w:b w:val="false"/>
                  <w:color w:val="0000EE"/>
                  <w:sz w:val="20"/>
                  <w:u w:val="single"/>
                </w:rPr>
                <w:t>Certification of Chief Financial Officer pursuant to 18 U.S.C. Section 1350, as adopted pursuant to Section 302 of the Sarbanes-Oxley Act of 2002</w:t>
              </w:r>
            </w:hyperlink>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oprx-20250331xex321.htm">
              <w:r>
                <w:rPr>
                  <w:rStyle w:val="InternetLink"/>
                  <w:rFonts w:ascii="Times New Roman;sans-serif" w:hAnsi="Times New Roman;sans-serif"/>
                  <w:b w:val="false"/>
                  <w:color w:val="0000EE"/>
                  <w:sz w:val="20"/>
                  <w:u w:val="single"/>
                </w:rPr>
                <w:t>Certification of Chief Executive Officer and Chief Financial Officer pursuant to 18 U.S.C. Section 1350, as adopted pursuant to Section 906 of the Sarbanes-Oxley Act of 2002</w:t>
              </w:r>
            </w:hyperlink>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0ef331e0f4f64f92b27ffd36561adbc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07" w:type="dxa"/>
        <w:jc w:val="left"/>
        <w:tblInd w:w="0" w:type="dxa"/>
        <w:tblLayout w:type="fixed"/>
        <w:tblCellMar>
          <w:top w:w="28" w:type="dxa"/>
          <w:left w:w="28" w:type="dxa"/>
          <w:bottom w:w="28" w:type="dxa"/>
          <w:right w:w="28" w:type="dxa"/>
        </w:tblCellMar>
      </w:tblPr>
      <w:tblGrid>
        <w:gridCol w:w="629"/>
        <w:gridCol w:w="554"/>
        <w:gridCol w:w="557"/>
        <w:gridCol w:w="354"/>
        <w:gridCol w:w="354"/>
        <w:gridCol w:w="354"/>
        <w:gridCol w:w="729"/>
        <w:gridCol w:w="729"/>
        <w:gridCol w:w="104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OptimizeRx Corporation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Silvestro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Silvestro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OptimizeRx Corporation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Stelmakh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Stelmakh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Chief Financial Officer and </w:t>
              <w:br/>
              <w:t>Chief Operations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00" w:after="283"/>
        <w:ind w:left="0" w:right="0" w:hanging="180"/>
        <w:jc w:val="both"/>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Stephen Silvestro,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OptimizeRx Corp (the “registrant”);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2025</w:t>
      </w:r>
    </w:p>
    <w:tbl>
      <w:tblPr>
        <w:tblW w:w="2907" w:type="dxa"/>
        <w:jc w:val="left"/>
        <w:tblInd w:w="0" w:type="dxa"/>
        <w:tblLayout w:type="fixed"/>
        <w:tblCellMar>
          <w:top w:w="28" w:type="dxa"/>
          <w:left w:w="28" w:type="dxa"/>
          <w:bottom w:w="28" w:type="dxa"/>
          <w:right w:w="28" w:type="dxa"/>
        </w:tblCellMar>
      </w:tblPr>
      <w:tblGrid>
        <w:gridCol w:w="916"/>
        <w:gridCol w:w="808"/>
        <w:gridCol w:w="811"/>
        <w:gridCol w:w="109"/>
        <w:gridCol w:w="109"/>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Stephen Silvestro</w:t>
              <w:b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00" w:after="283"/>
        <w:ind w:left="0" w:right="0" w:hanging="180"/>
        <w:jc w:val="both"/>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Edward Stelmakh,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OptimizeRx Corp (the “registrant”);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2025</w:t>
      </w:r>
    </w:p>
    <w:tbl>
      <w:tblPr>
        <w:tblW w:w="3236" w:type="dxa"/>
        <w:jc w:val="left"/>
        <w:tblInd w:w="0" w:type="dxa"/>
        <w:tblLayout w:type="fixed"/>
        <w:tblCellMar>
          <w:top w:w="28" w:type="dxa"/>
          <w:left w:w="28" w:type="dxa"/>
          <w:bottom w:w="28" w:type="dxa"/>
          <w:right w:w="28" w:type="dxa"/>
        </w:tblCellMar>
      </w:tblPr>
      <w:tblGrid>
        <w:gridCol w:w="1038"/>
        <w:gridCol w:w="911"/>
        <w:gridCol w:w="915"/>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Stelmakh</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Edward Stelmakh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Financial Officer and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Operations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AND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OptimizeRx Corp (the “Company”) on Form 10-Q for the quarter ended March 31, 2025 filed with the Securities and Exchange Commission (the “Report”), I, Stephen Silvestro, Chief Executive Officer and I, Edward Stelmakh, Chief Financial Officer and Chief Operations Officer of the Company, certify, pursuant to 18 U.S.C. Section 1350, as adopted pursuant to Section 906 of the Sarbanes-Oxley Act of 2002, that:</w:t>
      </w:r>
    </w:p>
    <w:p>
      <w:pPr>
        <w:pStyle w:val="TextBody"/>
        <w:bidi w:val="0"/>
        <w:spacing w:lineRule="auto" w:line="288" w:before="2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and</w:t>
      </w:r>
    </w:p>
    <w:p>
      <w:pPr>
        <w:pStyle w:val="TextBody"/>
        <w:bidi w:val="0"/>
        <w:spacing w:lineRule="auto" w:line="288" w:before="2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consolidated financial condition of the Company as of the dates presented and the consolidated result of operations of the Company for the periods presented.</w:t>
      </w:r>
    </w:p>
    <w:tbl>
      <w:tblPr>
        <w:tblW w:w="3371" w:type="dxa"/>
        <w:jc w:val="left"/>
        <w:tblInd w:w="0" w:type="dxa"/>
        <w:tblLayout w:type="fixed"/>
        <w:tblCellMar>
          <w:top w:w="28" w:type="dxa"/>
          <w:left w:w="28" w:type="dxa"/>
          <w:bottom w:w="28" w:type="dxa"/>
          <w:right w:w="28" w:type="dxa"/>
        </w:tblCellMar>
      </w:tblPr>
      <w:tblGrid>
        <w:gridCol w:w="232"/>
        <w:gridCol w:w="205"/>
        <w:gridCol w:w="208"/>
        <w:gridCol w:w="784"/>
        <w:gridCol w:w="784"/>
        <w:gridCol w:w="786"/>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Edward Stelmakh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w:t>
              <w:br/>
              <w:t>Chief Operations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has been furnished solely pursuant to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8431/000121390025025576/ea023467001ex10-19_optimize.htm" TargetMode="External"/><Relationship Id="rId3" Type="http://schemas.openxmlformats.org/officeDocument/2006/relationships/hyperlink" Target="https://www.sec.gov/Archives/edgar/data/1448431/000121390025025576/ea023467001ex10-22_optimize.htm" TargetMode="External"/><Relationship Id="rId4" Type="http://schemas.openxmlformats.org/officeDocument/2006/relationships/hyperlink" Target="https://www.sec.gov/Archives/edgar/data/1448431/000121390025002644/ea022734501ex10-1_optimize.htm" TargetMode="External"/><Relationship Id="rId5" Type="http://schemas.openxmlformats.org/officeDocument/2006/relationships/hyperlink" Target="https://www.sec.gov/Archives/edgar/data/1448431/000121390025021923/ea023370201ex10-1_optimiz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14485</Words>
  <Characters>80266</Characters>
  <CharactersWithSpaces>93994</CharactersWithSpaces>
  <Paragraphs>1297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