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July 25,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4- MATTERS RELATED TO ACCOUNTANTS AND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25, 2014, Silberstein Ungar, PLLC (the “Former Accountant”) notified the Company that its principals joined the accounting firm of KLJ &amp; Associates, LLP. As a result of the transaction, on July 25, 2014, the Former Accountant resigned as the Company’s independent registered public accounting firm and the Company engaged KLJ &amp; Associates, LLP (the “New Accountant”) as the Company’s independent registered public accounting firm. The engagement of the New Accountant was approved by the Company’s Board of Directors.</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Former Accountant’s audit reports on the financial statements of the Company for the fiscal years ended December 31, 2013 and 2012 contained no adverse opinion or disclaimer of opinion, nor were they qualified or modified as to uncertainty, audit scope or accounting principles.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fiscal years ended December 31, 2013 and 2012, and through the interim period ended July 25, 2013, there were no “disagreements” (as such term is defined in Item 304 of Regulation S-K) with the Former Accountant on any matter of accounting principles or practices, financial statement disclosure, or auditing scope or procedures, which disagreements if not resolved to the satisfaction of the Former Accountant would have caused them to make reference thereto in their reports on the financial statements for such periods.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fiscal years ended December 31, 2013 and 2012, and through the interim period ended July 25, 2013, there were the following “reportable events” (as such term is defined in Item 304 of Regulation S-K). As disclosed in Part I, Item 4 of the Company’s Form 10-Q for the quarterly period ended March 31, 2014, the Company’s management determined that the Company’s internal controls over financial reporting were not effective as of the end of such period due to the existence of material weaknesses related to the following:</w:t>
      </w:r>
    </w:p>
    <w:p>
      <w:pPr>
        <w:spacing w:after="0" w:line="187"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inadequate segregation of duties and effective risk assessment; and</w:t>
      </w:r>
    </w:p>
    <w:p>
      <w:pPr>
        <w:spacing w:after="0" w:line="225" w:lineRule="exact"/>
        <w:rPr>
          <w:sz w:val="20"/>
          <w:szCs w:val="20"/>
          <w:color w:val="auto"/>
        </w:rPr>
      </w:pPr>
    </w:p>
    <w:p>
      <w:pPr>
        <w:ind w:left="980" w:right="20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written policies and procedures for accounting and financial reporting with respect to the requirements and application of both US GAAP and SEC guidelines.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material weaknesses have not been remediated as of the date of this Current Report on Form 8-K.</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Other than as disclosed above, there were no reportable events during the fiscal years ended December 31, 2013 and 2012, and through the interim period ended July 25, 2014. The Company’s Board of Directors discussed the subject matter of each reportable event with the Former Accountant. The Company authorized the Former Accountant to respond fully and without limitation to all requests of the New Accountant concerning all matters related to the audited period by the Former Accountant, including with respect to the subject matter of each reportable event.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retaining the New Accountant, the Company did not consult with the New Accountant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25, 2014, the Company provided the Former Accountant with its disclosures in the Current Report on Form 8-K disclosing the dismissal of the Former Accountant and requested in writing that the Former Accountant furnish the Company with a letter addressed to the Securities and Exchange Commission stating whether or not they agree with such disclosures. The Former Accountant’s response is filed as an exhibit to this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0000EE"/>
        </w:rPr>
        <w:t>Letter from Silberstein Ungar, PLLC to the Securities and Exchange Commission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jc w:val="right"/>
        <w:spacing w:after="0" w:line="234" w:lineRule="auto"/>
        <w:rPr>
          <w:sz w:val="20"/>
          <w:szCs w:val="20"/>
          <w:color w:val="auto"/>
        </w:rPr>
      </w:pPr>
      <w:r>
        <w:rPr>
          <w:rFonts w:ascii="Arial" w:cs="Arial" w:eastAsia="Arial" w:hAnsi="Arial"/>
          <w:sz w:val="18"/>
          <w:szCs w:val="18"/>
          <w:color w:val="auto"/>
        </w:rPr>
        <w:t>Fax (248) 281-0940</w:t>
      </w:r>
    </w:p>
    <w:p>
      <w:pPr>
        <w:jc w:val="right"/>
        <w:spacing w:after="0" w:line="235" w:lineRule="auto"/>
        <w:rPr>
          <w:sz w:val="20"/>
          <w:szCs w:val="20"/>
          <w:color w:val="auto"/>
        </w:rPr>
      </w:pPr>
      <w:r>
        <w:rPr>
          <w:rFonts w:ascii="Arial" w:cs="Arial" w:eastAsia="Arial" w:hAnsi="Arial"/>
          <w:sz w:val="18"/>
          <w:szCs w:val="18"/>
          <w:color w:val="auto"/>
        </w:rPr>
        <w:t>30600 Telegraph Road, Suite 2175</w:t>
      </w:r>
    </w:p>
    <w:p>
      <w:pPr>
        <w:jc w:val="right"/>
        <w:spacing w:after="0" w:line="235" w:lineRule="auto"/>
        <w:rPr>
          <w:sz w:val="20"/>
          <w:szCs w:val="20"/>
          <w:color w:val="auto"/>
        </w:rPr>
      </w:pPr>
      <w:r>
        <w:rPr>
          <w:rFonts w:ascii="Arial" w:cs="Arial" w:eastAsia="Arial" w:hAnsi="Arial"/>
          <w:sz w:val="18"/>
          <w:szCs w:val="18"/>
          <w:color w:val="auto"/>
        </w:rPr>
        <w:t>Bingham Farms, MI 48025-4586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July 25,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OptimizeRx Corporation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read the statements included in the 8-K dated July 25, 2014 of OptimizeRx Corporation to be filed with the Securities and Exchange Commission and are in agreement with the statements concerning our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no basis to agree or disagree with the other statements included in such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sectPr>
      <w:pgSz w:w="11900" w:h="16838" w:orient="portrait"/>
      <w:cols w:equalWidth="0" w:num="1">
        <w:col w:w="11420"/>
      </w:cols>
      <w:pgMar w:left="240" w:top="3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2019-12-07T19:24:46Z</dcterms:created>
  <dcterms:modified xsi:type="dcterms:W3CDTF">2019-12-07T19:24:46Z</dcterms:modified>
</cp:coreProperties>
</file>