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6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360" w:type="dxa"/>
            <w:vAlign w:val="bottom"/>
            <w:gridSpan w:val="8"/>
          </w:tcPr>
          <w:p>
            <w:pPr>
              <w:jc w:val="center"/>
              <w:ind w:right="48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8140" w:type="dxa"/>
            <w:vAlign w:val="bottom"/>
            <w:gridSpan w:val="9"/>
          </w:tcPr>
          <w:p>
            <w:pPr>
              <w:jc w:val="center"/>
              <w:ind w:left="3190"/>
              <w:spacing w:after="0"/>
              <w:rPr>
                <w:sz w:val="20"/>
                <w:szCs w:val="20"/>
                <w:color w:val="auto"/>
              </w:rPr>
            </w:pPr>
            <w:r>
              <w:rPr>
                <w:rFonts w:ascii="Arial" w:cs="Arial" w:eastAsia="Arial" w:hAnsi="Arial"/>
                <w:sz w:val="18"/>
                <w:szCs w:val="18"/>
                <w:color w:val="auto"/>
                <w:w w:val="90"/>
              </w:rPr>
              <w:t>Date of Report (Date of earliest event reported): August 29, 2018</w:t>
            </w:r>
          </w:p>
        </w:tc>
        <w:tc>
          <w:tcPr>
            <w:tcW w:w="328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60" w:type="dxa"/>
            <w:vAlign w:val="bottom"/>
            <w:gridSpan w:val="6"/>
          </w:tcPr>
          <w:p>
            <w:pPr>
              <w:jc w:val="center"/>
              <w:ind w:right="980"/>
              <w:spacing w:after="0"/>
              <w:rPr>
                <w:sz w:val="20"/>
                <w:szCs w:val="20"/>
                <w:color w:val="auto"/>
              </w:rPr>
            </w:pPr>
            <w:r>
              <w:rPr>
                <w:rFonts w:ascii="Arial" w:cs="Arial" w:eastAsia="Arial" w:hAnsi="Arial"/>
                <w:sz w:val="18"/>
                <w:szCs w:val="18"/>
                <w:color w:val="auto"/>
                <w:w w:val="93"/>
              </w:rPr>
              <w:t>OptimizeRx Corporation</w:t>
            </w:r>
          </w:p>
        </w:tc>
        <w:tc>
          <w:tcPr>
            <w:tcW w:w="3280" w:type="dxa"/>
            <w:vAlign w:val="bottom"/>
          </w:tcPr>
          <w:p>
            <w:pPr>
              <w:spacing w:after="0"/>
              <w:rPr>
                <w:sz w:val="24"/>
                <w:szCs w:val="24"/>
                <w:color w:val="auto"/>
              </w:rPr>
            </w:pPr>
          </w:p>
        </w:tc>
      </w:tr>
      <w:tr>
        <w:trPr>
          <w:trHeight w:val="54"/>
        </w:trPr>
        <w:tc>
          <w:tcPr>
            <w:tcW w:w="3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80" w:type="dxa"/>
            <w:vAlign w:val="bottom"/>
          </w:tcPr>
          <w:p>
            <w:pPr>
              <w:spacing w:after="0"/>
              <w:rPr>
                <w:sz w:val="4"/>
                <w:szCs w:val="4"/>
                <w:color w:val="auto"/>
              </w:rPr>
            </w:pPr>
          </w:p>
        </w:tc>
      </w:tr>
      <w:tr>
        <w:trPr>
          <w:trHeight w:val="224"/>
        </w:trPr>
        <w:tc>
          <w:tcPr>
            <w:tcW w:w="37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w w:val="78"/>
              </w:rPr>
              <w:t>(Exact</w:t>
            </w:r>
          </w:p>
        </w:tc>
        <w:tc>
          <w:tcPr>
            <w:tcW w:w="28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96"/>
              </w:rPr>
              <w:t>name of registrant as specified in its</w:t>
            </w:r>
          </w:p>
        </w:tc>
        <w:tc>
          <w:tcPr>
            <w:tcW w:w="1000" w:type="dxa"/>
            <w:vAlign w:val="bottom"/>
            <w:gridSpan w:val="3"/>
          </w:tcPr>
          <w:p>
            <w:pPr>
              <w:spacing w:after="0"/>
              <w:rPr>
                <w:sz w:val="20"/>
                <w:szCs w:val="20"/>
                <w:color w:val="auto"/>
              </w:rPr>
            </w:pPr>
            <w:r>
              <w:rPr>
                <w:rFonts w:ascii="Arial" w:cs="Arial" w:eastAsia="Arial" w:hAnsi="Arial"/>
                <w:sz w:val="18"/>
                <w:szCs w:val="18"/>
                <w:color w:val="auto"/>
              </w:rPr>
              <w:t>charter)</w:t>
            </w:r>
          </w:p>
        </w:tc>
        <w:tc>
          <w:tcPr>
            <w:tcW w:w="3280" w:type="dxa"/>
            <w:vAlign w:val="bottom"/>
          </w:tcPr>
          <w:p>
            <w:pPr>
              <w:spacing w:after="0"/>
              <w:rPr>
                <w:sz w:val="19"/>
                <w:szCs w:val="19"/>
                <w:color w:val="auto"/>
              </w:rPr>
            </w:pPr>
          </w:p>
        </w:tc>
      </w:tr>
      <w:tr>
        <w:trPr>
          <w:trHeight w:val="438"/>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3360" w:type="dxa"/>
            <w:vAlign w:val="bottom"/>
            <w:gridSpan w:val="5"/>
          </w:tcPr>
          <w:p>
            <w:pPr>
              <w:jc w:val="center"/>
              <w:ind w:left="450"/>
              <w:spacing w:after="0"/>
              <w:rPr>
                <w:sz w:val="20"/>
                <w:szCs w:val="20"/>
                <w:color w:val="auto"/>
              </w:rPr>
            </w:pPr>
            <w:r>
              <w:rPr>
                <w:rFonts w:ascii="Arial" w:cs="Arial" w:eastAsia="Arial" w:hAnsi="Arial"/>
                <w:sz w:val="18"/>
                <w:szCs w:val="18"/>
                <w:color w:val="auto"/>
                <w:w w:val="90"/>
              </w:rPr>
              <w:t>000-53605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gridSpan w:val="4"/>
          </w:tcPr>
          <w:p>
            <w:pPr>
              <w:jc w:val="center"/>
              <w:ind w:right="29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(I.R.S. Employer Identification No.)</w:t>
            </w:r>
          </w:p>
        </w:tc>
      </w:tr>
      <w:tr>
        <w:trPr>
          <w:trHeight w:val="425"/>
        </w:trPr>
        <w:tc>
          <w:tcPr>
            <w:tcW w:w="8140" w:type="dxa"/>
            <w:vAlign w:val="bottom"/>
            <w:gridSpan w:val="9"/>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2320" w:type="dxa"/>
            <w:vAlign w:val="bottom"/>
            <w:tcBorders>
              <w:top w:val="single" w:sz="8" w:color="auto"/>
            </w:tcBorders>
            <w:gridSpan w:val="4"/>
          </w:tcPr>
          <w:p>
            <w:pPr>
              <w:spacing w:after="0"/>
              <w:rPr>
                <w:sz w:val="20"/>
                <w:szCs w:val="20"/>
                <w:color w:val="auto"/>
              </w:rPr>
            </w:pPr>
          </w:p>
        </w:tc>
        <w:tc>
          <w:tcPr>
            <w:tcW w:w="3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On August 29, 2018, we issued a press release about our invitation to participate at the Lake Street Capital Market’s 2018 Best Ideas Growth (BIG) Conference being held on September 13, 2018 at the Parker New York Hotel in NYC.</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29,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August 29, 2018</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154940</wp:posOffset>
            </wp:positionV>
            <wp:extent cx="2152650"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OptimizeRx to Participate at Lake Street Capital Markets Best Ideas Growth Conference on September 13, 2018</w:t>
      </w:r>
    </w:p>
    <w:p>
      <w:pPr>
        <w:spacing w:after="0" w:line="139"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b w:val="1"/>
          <w:bCs w:val="1"/>
          <w:color w:val="auto"/>
        </w:rPr>
        <w:t xml:space="preserve">ROCHESTER, Mich., August 29,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(OTCQB: OPRX), a leading global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has been invited to participate at the Lake Street Capital Market’s 2018 Best Ideas Growth (BIG) Conference being held on September 13, 2018 at the Parker New York Hotel in NYC.</w:t>
      </w:r>
    </w:p>
    <w:p>
      <w:pPr>
        <w:spacing w:after="0" w:line="18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OptimizeRx CEO William Febbo is scheduled to participate in one-on-one meetings. He will discuss a number of topics, including the company’s record Q2 results and additional reach to physicians at the point-of-care workflow helping patients better afford and comply with doctor-prescribed medications. He will also discuss the company’s growing network, the largest network of its kind, that reaches more than half of the ambulatory patient market in the U.S.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Lake Street 2018 BIG Conference will give investors extensive interaction and one-on-one meetings with management teams from ~45 small/mid-cap companies in the health care, technology, consumer and industrials sectors, and provide in-depth insights into each of them.</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event is for institutional clients of Lake Street and is by invitation only. To schedule a one-on-one meeting with OptimizeRx, please contact your Lake Street sales representative at (612) 326-1305 or conference@lakestreetcm.com. For any questions about OptimizeRx, contact Ron Both of CMA at (949) 432-7557 or submit your request here.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Lake Street Capital Markets</w:t>
      </w:r>
    </w:p>
    <w:p>
      <w:pPr>
        <w:spacing w:after="0" w:line="27"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Lake Street Capital Markets is a research-powered investment bank focused on select, high-growth companies and sectors of the economy. The company’s research enables institutional investors to understand emerging secular trends and identify innovative companies best positioned to capitalize on them. Lake Street provides companies with access to capital and helps build relationships to drive long-term growth. For more information on Lake Street, please visit www.lakestreetcapitalmarkets.com.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2019-12-28T19:39:03Z</dcterms:created>
  <dcterms:modified xsi:type="dcterms:W3CDTF">2019-12-28T19:39:03Z</dcterms:modified>
</cp:coreProperties>
</file>