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140" w:type="dxa"/>
            <w:vAlign w:val="bottom"/>
            <w:gridSpan w:val="9"/>
          </w:tcPr>
          <w:p>
            <w:pPr>
              <w:jc w:val="center"/>
              <w:ind w:left="90"/>
              <w:spacing w:after="0"/>
              <w:rPr>
                <w:sz w:val="20"/>
                <w:szCs w:val="20"/>
                <w:color w:val="auto"/>
              </w:rPr>
            </w:pPr>
            <w:r>
              <w:rPr>
                <w:rFonts w:ascii="Arial" w:cs="Arial" w:eastAsia="Arial" w:hAnsi="Arial"/>
                <w:sz w:val="18"/>
                <w:szCs w:val="18"/>
                <w:color w:val="auto"/>
                <w:w w:val="90"/>
              </w:rPr>
              <w:t>Date of Report (Date of earliest event reported): December 6, 2017</w:t>
            </w:r>
          </w:p>
        </w:tc>
        <w:tc>
          <w:tcPr>
            <w:tcW w:w="322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60" w:type="dxa"/>
            <w:vAlign w:val="bottom"/>
          </w:tcPr>
          <w:p>
            <w:pPr>
              <w:jc w:val="center"/>
              <w:ind w:left="630"/>
              <w:spacing w:after="0"/>
              <w:rPr>
                <w:sz w:val="20"/>
                <w:szCs w:val="20"/>
                <w:color w:val="auto"/>
              </w:rPr>
            </w:pPr>
            <w:r>
              <w:rPr>
                <w:rFonts w:ascii="Arial" w:cs="Arial" w:eastAsia="Arial" w:hAnsi="Arial"/>
                <w:sz w:val="18"/>
                <w:szCs w:val="18"/>
                <w:color w:val="auto"/>
                <w:w w:val="86"/>
              </w:rPr>
              <w:t>Nevada</w:t>
            </w:r>
          </w:p>
        </w:tc>
        <w:tc>
          <w:tcPr>
            <w:tcW w:w="3560" w:type="dxa"/>
            <w:vAlign w:val="bottom"/>
            <w:gridSpan w:val="6"/>
          </w:tcPr>
          <w:p>
            <w:pPr>
              <w:jc w:val="right"/>
              <w:ind w:right="460"/>
              <w:spacing w:after="0"/>
              <w:rPr>
                <w:sz w:val="20"/>
                <w:szCs w:val="20"/>
                <w:color w:val="auto"/>
              </w:rPr>
            </w:pPr>
            <w:r>
              <w:rPr>
                <w:rFonts w:ascii="Arial" w:cs="Arial" w:eastAsia="Arial" w:hAnsi="Arial"/>
                <w:sz w:val="18"/>
                <w:szCs w:val="18"/>
                <w:color w:val="auto"/>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230"/>
              <w:spacing w:after="0"/>
              <w:rPr>
                <w:sz w:val="20"/>
                <w:szCs w:val="20"/>
                <w:color w:val="auto"/>
              </w:rPr>
            </w:pPr>
            <w:r>
              <w:rPr>
                <w:rFonts w:ascii="Arial" w:cs="Arial" w:eastAsia="Arial" w:hAnsi="Arial"/>
                <w:sz w:val="18"/>
                <w:szCs w:val="18"/>
                <w:color w:val="auto"/>
                <w:w w:val="89"/>
              </w:rPr>
              <w:t>26-1265381</w:t>
            </w:r>
          </w:p>
        </w:tc>
      </w:tr>
      <w:tr>
        <w:trPr>
          <w:trHeight w:val="202"/>
        </w:trPr>
        <w:tc>
          <w:tcPr>
            <w:tcW w:w="3060" w:type="dxa"/>
            <w:vAlign w:val="bottom"/>
            <w:tcBorders>
              <w:top w:val="single" w:sz="8" w:color="auto"/>
            </w:tcBorders>
          </w:tcPr>
          <w:p>
            <w:pPr>
              <w:jc w:val="center"/>
              <w:ind w:left="590"/>
              <w:spacing w:after="0" w:line="201" w:lineRule="exact"/>
              <w:rPr>
                <w:sz w:val="20"/>
                <w:szCs w:val="20"/>
                <w:color w:val="auto"/>
              </w:rPr>
            </w:pPr>
            <w:r>
              <w:rPr>
                <w:rFonts w:ascii="Arial" w:cs="Arial" w:eastAsia="Arial" w:hAnsi="Arial"/>
                <w:sz w:val="18"/>
                <w:szCs w:val="18"/>
                <w:color w:val="auto"/>
                <w:w w:val="92"/>
              </w:rPr>
              <w:t>(State or other jurisdiction</w:t>
            </w: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ind w:left="10"/>
              <w:spacing w:after="0" w:line="201" w:lineRule="exact"/>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480"/>
              <w:spacing w:after="0"/>
              <w:rPr>
                <w:sz w:val="20"/>
                <w:szCs w:val="20"/>
                <w:color w:val="auto"/>
              </w:rPr>
            </w:pPr>
            <w:r>
              <w:rPr>
                <w:rFonts w:ascii="Arial" w:cs="Arial" w:eastAsia="Arial" w:hAnsi="Arial"/>
                <w:sz w:val="18"/>
                <w:szCs w:val="18"/>
                <w:color w:val="auto"/>
                <w:w w:val="89"/>
              </w:rPr>
              <w:t>400 Water Street, Suite 200, Rochester, MI</w:t>
            </w:r>
          </w:p>
        </w:tc>
        <w:tc>
          <w:tcPr>
            <w:tcW w:w="322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6, 2017, we issued a press release announcing a new initiative with Modernizing Medicine to help patients save money and be better educated about their prescriptions. A copy of the press release is attached as Exhibit 99.1 to this Current Report on Form 8-K.</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December 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2017</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154940</wp:posOffset>
            </wp:positionV>
            <wp:extent cx="3987800" cy="574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8780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OptimizeRx to Launch Real-time Financial Messaging With Modernizing</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Medicine, Providing Prescription Cost Savings at Point-of-Care</w:t>
      </w:r>
    </w:p>
    <w:p>
      <w:pPr>
        <w:spacing w:after="0" w:line="20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Rochester, MI, &amp; Boca Raton, FL, (December 6, 2017)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(OTCQB: OPRX), the nation’s leading provider of digital health messaging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via electronic health record (EHR) systems, announces a new initiative with </w:t>
      </w:r>
      <w:r>
        <w:rPr>
          <w:rFonts w:ascii="Arial" w:cs="Arial" w:eastAsia="Arial" w:hAnsi="Arial"/>
          <w:sz w:val="18"/>
          <w:szCs w:val="18"/>
          <w:u w:val="single" w:color="auto"/>
          <w:color w:val="auto"/>
        </w:rPr>
        <w:t>Modernizing Medicine</w:t>
      </w:r>
      <w:r>
        <w:rPr>
          <w:rFonts w:ascii="Arial" w:cs="Arial" w:eastAsia="Arial" w:hAnsi="Arial"/>
          <w:sz w:val="18"/>
          <w:szCs w:val="18"/>
          <w:color w:val="auto"/>
        </w:rPr>
        <w:t xml:space="preserve"> to help patients save money and be better educated about their prescriptions.</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Modernizing Medicine provides a specialty-specific, data-driven and cloud-based EHR system to dermatologists, ophthalmologists, orthopedic surgeons, plastic surgeons, urologists, otolaryngologists and pain management specialists nationwide. Over 10,000 providers use Modernizing Medicine’s mobile EHR system, EMA™, including more than 40 percent of U.S. dermatologists.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Modernizing Medicine’s EHR system was </w:t>
      </w:r>
      <w:r>
        <w:rPr>
          <w:rFonts w:ascii="Arial" w:cs="Arial" w:eastAsia="Arial" w:hAnsi="Arial"/>
          <w:sz w:val="18"/>
          <w:szCs w:val="18"/>
          <w:u w:val="single" w:color="auto"/>
          <w:color w:val="auto"/>
        </w:rPr>
        <w:t>recently ranked</w:t>
      </w:r>
      <w:r>
        <w:rPr>
          <w:rFonts w:ascii="Arial" w:cs="Arial" w:eastAsia="Arial" w:hAnsi="Arial"/>
          <w:sz w:val="18"/>
          <w:szCs w:val="18"/>
          <w:color w:val="auto"/>
        </w:rPr>
        <w:t xml:space="preserve"> #1 on the Black Book™ Physician Practice and Ambulatory Solutions list of top EHR systems for six specialties, and EMA has been named the #1 dermatology EHR system for four consecutive years.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OptimizeRx services will operate seamlessly within the Modernizing Medicine EHR system workflow to notify health care providers (HCPs) of potential prescription savings and support information for their patients.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“HCPs using our EHR system should be able to better address two of the greatest challenges in healthcare: improving affordability of medications and encouraging greater adherence,” said Dr. Michael Sherling, Chief Medical &amp; Strategy Officer of Modernizing Medicine. “In this way Modernizing Medicine continues to serve our clients by providing additional technology intended to increase practice efficiency and improve patient outcomes.”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OptimizeRx’s growing EHR and eRx network now reaches more than 500,000 HCPs in the U.S., making it the healthcare industry’s largest point-of-prescribe network.</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Miriam Paramore, president of OptimizeRx, commented: “As a leader in specialty-specific EHR systems for thousands of HCPs, and consistently named a top-ranked EHR vendor, Modernizing Medicine further strengthens our network where our financial and brand messaging are distributed. We look forward to delivering our services through the interface with Modernizing Medicine’s award-winning EHR systems.”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OptimizeRx recently reported record net revenue in the third quarter of 2017, up 74% as compared to the same year-ago quarter, which was driven by growth in financial and brand messaging by new and returning clients. OptimizeRx expects the additional channel partner to enhance its reach, thereby supporting additional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Modernizing Medicine</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Modernizing Medicine® and its affiliated companies are transforming how healthcare information is created, consumed and utilized in order to increase practice efficiency and improve patient outcomes. Our specialty-specific, data-driven and cloud-based electronic health records (EHR) and practice management (PM) systems, plus revenue cycle management (RCM) services, were built by a team including specialty physicians and practice management professionals. Our suite of products and services is designed to transform the clinical, financial and operational aspects of dermatology, gastroenterology, ophthalmology, orthopedics, otolaryngology, pain management, plastic surgery and urology practices. We also offer products designed specifically for ambulatory surgery centers. For more information, please visit </w:t>
      </w:r>
      <w:r>
        <w:rPr>
          <w:rFonts w:ascii="Arial" w:cs="Arial" w:eastAsia="Arial" w:hAnsi="Arial"/>
          <w:sz w:val="18"/>
          <w:szCs w:val="18"/>
          <w:u w:val="single" w:color="auto"/>
          <w:color w:val="auto"/>
        </w:rPr>
        <w:t>www.modmed.com</w:t>
      </w:r>
      <w:r>
        <w:rPr>
          <w:rFonts w:ascii="Arial" w:cs="Arial" w:eastAsia="Arial" w:hAnsi="Arial"/>
          <w:sz w:val="18"/>
          <w:szCs w:val="18"/>
          <w:color w:val="auto"/>
        </w:rPr>
        <w:t xml:space="preserve">. Connect with Modernizing Medicine on our </w:t>
      </w:r>
      <w:r>
        <w:rPr>
          <w:rFonts w:ascii="Arial" w:cs="Arial" w:eastAsia="Arial" w:hAnsi="Arial"/>
          <w:sz w:val="18"/>
          <w:szCs w:val="18"/>
          <w:u w:val="single" w:color="auto"/>
          <w:color w:val="auto"/>
        </w:rPr>
        <w:t>Blog</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Twitter</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 xml:space="preserve">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IOS is a trademark or registered trademark of Cisco in the U.S. and other countries and is used under license by Apple, Inc. iPad is a registered trademark of Apple,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Modernizing Medicine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Tara Auclair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(561) 880-2998 x1321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tara.auclair@modmed.com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www.modmed.com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Jessica Wolter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(978) 518-4536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modmed@matternow.com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www.matternow.com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2019-12-29T02:47:03Z</dcterms:created>
  <dcterms:modified xsi:type="dcterms:W3CDTF">2019-12-29T02:47:03Z</dcterms:modified>
</cp:coreProperties>
</file>