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980" w:type="dxa"/>
            <w:vAlign w:val="bottom"/>
            <w:gridSpan w:val="4"/>
          </w:tcPr>
          <w:p>
            <w:pPr>
              <w:jc w:val="right"/>
              <w:ind w:right="1240"/>
              <w:spacing w:after="0"/>
              <w:rPr>
                <w:sz w:val="20"/>
                <w:szCs w:val="20"/>
                <w:color w:val="auto"/>
              </w:rPr>
            </w:pPr>
            <w:r>
              <w:rPr>
                <w:rFonts w:ascii="Arial" w:cs="Arial" w:eastAsia="Arial" w:hAnsi="Arial"/>
                <w:sz w:val="18"/>
                <w:szCs w:val="18"/>
                <w:color w:val="auto"/>
                <w:w w:val="90"/>
              </w:rPr>
              <w:t>For the quarterly period ended September 30, 2010</w:t>
            </w:r>
          </w:p>
        </w:tc>
      </w:tr>
      <w:tr>
        <w:trPr>
          <w:trHeight w:val="432"/>
        </w:trPr>
        <w:tc>
          <w:tcPr>
            <w:tcW w:w="40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6220" w:type="dxa"/>
            <w:vAlign w:val="bottom"/>
            <w:gridSpan w:val="4"/>
          </w:tcPr>
          <w:p>
            <w:pPr>
              <w:ind w:left="180"/>
              <w:spacing w:after="0"/>
              <w:rPr>
                <w:sz w:val="20"/>
                <w:szCs w:val="20"/>
                <w:color w:val="auto"/>
              </w:rPr>
            </w:pPr>
            <w:r>
              <w:rPr>
                <w:rFonts w:ascii="Arial" w:cs="Arial" w:eastAsia="Arial" w:hAnsi="Arial"/>
                <w:sz w:val="18"/>
                <w:szCs w:val="18"/>
                <w:color w:val="auto"/>
                <w:w w:val="93"/>
              </w:rPr>
              <w:t>Transition Report pursuant to 13 or 15(d) of the Securities Exchange Act of 1934</w:t>
            </w: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60" w:type="dxa"/>
            <w:vAlign w:val="bottom"/>
            <w:gridSpan w:val="5"/>
          </w:tcPr>
          <w:p>
            <w:pPr>
              <w:jc w:val="right"/>
              <w:ind w:right="1240"/>
              <w:spacing w:after="0"/>
              <w:rPr>
                <w:sz w:val="20"/>
                <w:szCs w:val="20"/>
                <w:color w:val="auto"/>
              </w:rPr>
            </w:pPr>
            <w:r>
              <w:rPr>
                <w:rFonts w:ascii="Arial" w:cs="Arial" w:eastAsia="Arial" w:hAnsi="Arial"/>
                <w:sz w:val="18"/>
                <w:szCs w:val="18"/>
                <w:color w:val="auto"/>
              </w:rPr>
              <w:t>For the transition period from __________ to __________</w:t>
            </w:r>
          </w:p>
        </w:tc>
      </w:tr>
      <w:tr>
        <w:trPr>
          <w:trHeight w:val="432"/>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980" w:type="dxa"/>
            <w:vAlign w:val="bottom"/>
            <w:gridSpan w:val="4"/>
          </w:tcPr>
          <w:p>
            <w:pPr>
              <w:jc w:val="right"/>
              <w:ind w:right="1240"/>
              <w:spacing w:after="0"/>
              <w:rPr>
                <w:sz w:val="20"/>
                <w:szCs w:val="20"/>
                <w:color w:val="auto"/>
              </w:rPr>
            </w:pPr>
            <w:r>
              <w:rPr>
                <w:rFonts w:ascii="Arial" w:cs="Arial" w:eastAsia="Arial" w:hAnsi="Arial"/>
                <w:sz w:val="18"/>
                <w:szCs w:val="18"/>
                <w:color w:val="auto"/>
              </w:rPr>
              <w:t>Commission File Number: 000-53605</w:t>
            </w:r>
          </w:p>
        </w:tc>
      </w:tr>
      <w:tr>
        <w:trPr>
          <w:trHeight w:val="419"/>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60" w:type="dxa"/>
            <w:vAlign w:val="bottom"/>
            <w:gridSpan w:val="5"/>
          </w:tcPr>
          <w:p>
            <w:pPr>
              <w:jc w:val="center"/>
              <w:ind w:right="150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9"/>
        </w:trPr>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348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26-1265381</w:t>
            </w:r>
          </w:p>
        </w:tc>
        <w:tc>
          <w:tcPr>
            <w:tcW w:w="800" w:type="dxa"/>
            <w:vAlign w:val="bottom"/>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6220" w:type="dxa"/>
            <w:vAlign w:val="bottom"/>
            <w:gridSpan w:val="4"/>
          </w:tcPr>
          <w:p>
            <w:pPr>
              <w:jc w:val="center"/>
              <w:ind w:right="12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80" w:type="dxa"/>
            <w:vAlign w:val="bottom"/>
            <w:gridSpan w:val="3"/>
          </w:tcPr>
          <w:p>
            <w:pPr>
              <w:ind w:left="700"/>
              <w:spacing w:after="0"/>
              <w:rPr>
                <w:sz w:val="20"/>
                <w:szCs w:val="20"/>
                <w:color w:val="auto"/>
              </w:rPr>
            </w:pPr>
            <w:r>
              <w:rPr>
                <w:rFonts w:ascii="Arial" w:cs="Arial" w:eastAsia="Arial" w:hAnsi="Arial"/>
                <w:sz w:val="18"/>
                <w:szCs w:val="18"/>
                <w:color w:val="auto"/>
                <w:w w:val="93"/>
              </w:rPr>
              <w:t>(IRS Employer Identification No.)</w:t>
            </w:r>
          </w:p>
        </w:tc>
      </w:tr>
    </w:tbl>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407 6th Street</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Rochester, MI, 48307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248-651-6568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233" w:right="299" w:bottom="1440" w:gutter="0" w:footer="0" w:header="0"/>
        </w:sectPr>
      </w:pPr>
    </w:p>
    <w:p>
      <w:pPr>
        <w:spacing w:after="0" w:line="264" w:lineRule="exact"/>
        <w:rPr>
          <w:sz w:val="24"/>
          <w:szCs w:val="24"/>
          <w:color w:val="auto"/>
        </w:rPr>
      </w:pPr>
    </w:p>
    <w:p>
      <w:pPr>
        <w:ind w:right="190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90" w:lineRule="exact"/>
        <w:rPr>
          <w:sz w:val="24"/>
          <w:szCs w:val="24"/>
          <w:color w:val="auto"/>
        </w:rPr>
      </w:pPr>
    </w:p>
    <w:p>
      <w:pPr>
        <w:sectPr>
          <w:pgSz w:w="11900" w:h="16838" w:orient="portrait"/>
          <w:cols w:equalWidth="0" w:num="2">
            <w:col w:w="4980" w:space="720"/>
            <w:col w:w="5660"/>
          </w:cols>
          <w:pgMar w:left="240" w:top="23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5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13,233,754 shares as of September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152400</wp:posOffset>
            </wp:positionV>
            <wp:extent cx="2023745"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gridSpan w:val="5"/>
          </w:tcPr>
          <w:p>
            <w:pPr>
              <w:spacing w:after="0"/>
              <w:rPr>
                <w:sz w:val="20"/>
                <w:szCs w:val="20"/>
                <w:color w:val="auto"/>
              </w:rPr>
            </w:pPr>
            <w:r>
              <w:rPr>
                <w:rFonts w:ascii="Arial" w:cs="Arial" w:eastAsia="Arial" w:hAnsi="Arial"/>
                <w:sz w:val="18"/>
                <w:szCs w:val="18"/>
                <w:color w:val="auto"/>
              </w:rPr>
              <w:t>Page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gridSpan w:val="10"/>
          </w:tcPr>
          <w:p>
            <w:pPr>
              <w:jc w:val="center"/>
              <w:ind w:right="1320"/>
              <w:spacing w:after="0"/>
              <w:rPr>
                <w:sz w:val="20"/>
                <w:szCs w:val="20"/>
                <w:color w:val="auto"/>
              </w:rPr>
            </w:pPr>
            <w:r>
              <w:rPr>
                <w:rFonts w:ascii="Arial" w:cs="Arial" w:eastAsia="Arial" w:hAnsi="Arial"/>
                <w:sz w:val="18"/>
                <w:szCs w:val="18"/>
                <w:color w:val="auto"/>
                <w:w w:val="98"/>
              </w:rPr>
              <w:t>PART I – FINANCIAL INFORMATION</w:t>
            </w: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420" w:type="dxa"/>
            <w:vAlign w:val="bottom"/>
            <w:gridSpan w:val="14"/>
            <w:shd w:val="clear" w:color="auto" w:fill="CBDBD1"/>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0" w:type="dxa"/>
            <w:vAlign w:val="bottom"/>
            <w:tcBorders>
              <w:right w:val="single" w:sz="8" w:color="CBDBD1"/>
            </w:tcBorders>
            <w:gridSpan w:val="3"/>
            <w:shd w:val="clear" w:color="auto" w:fill="CBDBD1"/>
          </w:tcPr>
          <w:p>
            <w:pPr>
              <w:jc w:val="center"/>
              <w:ind w:left="1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00" w:type="dxa"/>
            <w:vAlign w:val="bottom"/>
            <w:shd w:val="clear" w:color="auto" w:fill="CBDBD1"/>
          </w:tcPr>
          <w:p>
            <w:pPr>
              <w:spacing w:after="0"/>
              <w:rPr>
                <w:sz w:val="15"/>
                <w:szCs w:val="15"/>
                <w:color w:val="auto"/>
              </w:rPr>
            </w:pPr>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62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5420" w:type="dxa"/>
            <w:vAlign w:val="bottom"/>
            <w:gridSpan w:val="14"/>
          </w:tcPr>
          <w:p>
            <w:pPr>
              <w:ind w:left="140"/>
              <w:spacing w:after="0" w:line="17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Management’s Discussion and Analysis of Financial Condition and</w:t>
              </w:r>
            </w:hyperlink>
          </w:p>
        </w:tc>
        <w:tc>
          <w:tcPr>
            <w:tcW w:w="260" w:type="dxa"/>
            <w:vAlign w:val="bottom"/>
            <w:gridSpan w:val="3"/>
          </w:tcPr>
          <w:p>
            <w:pPr>
              <w:jc w:val="center"/>
              <w:ind w:left="10"/>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Results of Operations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5420" w:type="dxa"/>
            <w:vAlign w:val="bottom"/>
            <w:gridSpan w:val="14"/>
            <w:shd w:val="clear" w:color="auto" w:fill="CBDBD1"/>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60" w:type="dxa"/>
            <w:vAlign w:val="bottom"/>
            <w:tcBorders>
              <w:right w:val="single" w:sz="8" w:color="CBDBD1"/>
            </w:tcBorders>
            <w:gridSpan w:val="3"/>
            <w:shd w:val="clear" w:color="auto" w:fill="CBDBD1"/>
          </w:tcPr>
          <w:p>
            <w:pPr>
              <w:jc w:val="center"/>
              <w:ind w:left="10"/>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11</w:t>
              </w:r>
            </w:hyperlink>
          </w:p>
        </w:tc>
        <w:tc>
          <w:tcPr>
            <w:tcW w:w="100" w:type="dxa"/>
            <w:vAlign w:val="bottom"/>
            <w:shd w:val="clear" w:color="auto" w:fill="CBDBD1"/>
          </w:tcPr>
          <w:p>
            <w:pPr>
              <w:spacing w:after="0"/>
              <w:rPr>
                <w:sz w:val="15"/>
                <w:szCs w:val="15"/>
                <w:color w:val="auto"/>
              </w:rPr>
            </w:pPr>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0000EE"/>
            </w:tcBorders>
            <w:shd w:val="clear" w:color="auto" w:fill="CBDBD1"/>
          </w:tcPr>
          <w:p>
            <w:pPr>
              <w:spacing w:after="0" w:line="20" w:lineRule="exact"/>
              <w:rPr>
                <w:sz w:val="1"/>
                <w:szCs w:val="1"/>
                <w:color w:val="auto"/>
              </w:rPr>
            </w:pPr>
          </w:p>
        </w:tc>
        <w:tc>
          <w:tcPr>
            <w:tcW w:w="16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4T:</w:t>
              </w:r>
            </w:hyperlink>
          </w:p>
        </w:tc>
        <w:tc>
          <w:tcPr>
            <w:tcW w:w="5420" w:type="dxa"/>
            <w:vAlign w:val="bottom"/>
            <w:gridSpan w:val="14"/>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60" w:type="dxa"/>
            <w:vAlign w:val="bottom"/>
            <w:gridSpan w:val="3"/>
          </w:tcPr>
          <w:p>
            <w:pPr>
              <w:jc w:val="center"/>
              <w:ind w:left="10"/>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11</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gridSpan w:val="10"/>
          </w:tcPr>
          <w:p>
            <w:pPr>
              <w:jc w:val="center"/>
              <w:ind w:right="1320"/>
              <w:spacing w:after="0"/>
              <w:rPr>
                <w:sz w:val="20"/>
                <w:szCs w:val="20"/>
                <w:color w:val="auto"/>
              </w:rPr>
            </w:pPr>
            <w:r>
              <w:rPr>
                <w:rFonts w:ascii="Arial" w:cs="Arial" w:eastAsia="Arial" w:hAnsi="Arial"/>
                <w:sz w:val="18"/>
                <w:szCs w:val="18"/>
                <w:color w:val="auto"/>
                <w:w w:val="95"/>
              </w:rPr>
              <w:t>PART II – OTHER INFORMATION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5420" w:type="dxa"/>
            <w:vAlign w:val="bottom"/>
            <w:gridSpan w:val="14"/>
            <w:shd w:val="clear" w:color="auto" w:fill="CBDBD1"/>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360" w:type="dxa"/>
            <w:vAlign w:val="bottom"/>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12</w:t>
              </w:r>
            </w:hyperlink>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62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5420" w:type="dxa"/>
            <w:vAlign w:val="bottom"/>
            <w:gridSpan w:val="14"/>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360" w:type="dxa"/>
            <w:vAlign w:val="bottom"/>
            <w:gridSpan w:val="4"/>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12</w:t>
              </w:r>
            </w:hyperlink>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5420" w:type="dxa"/>
            <w:vAlign w:val="bottom"/>
            <w:gridSpan w:val="14"/>
            <w:shd w:val="clear" w:color="auto" w:fill="CBDBD1"/>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360" w:type="dxa"/>
            <w:vAlign w:val="bottom"/>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12</w:t>
              </w:r>
            </w:hyperlink>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0000EE"/>
            </w:tcBorders>
            <w:shd w:val="clear" w:color="auto" w:fill="CBDBD1"/>
          </w:tcPr>
          <w:p>
            <w:pPr>
              <w:spacing w:after="0" w:line="20" w:lineRule="exact"/>
              <w:rPr>
                <w:sz w:val="1"/>
                <w:szCs w:val="1"/>
                <w:color w:val="auto"/>
              </w:rPr>
            </w:pPr>
          </w:p>
        </w:tc>
        <w:tc>
          <w:tcPr>
            <w:tcW w:w="162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5420" w:type="dxa"/>
            <w:vAlign w:val="bottom"/>
            <w:gridSpan w:val="14"/>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360" w:type="dxa"/>
            <w:vAlign w:val="bottom"/>
            <w:gridSpan w:val="4"/>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12</w:t>
              </w:r>
            </w:hyperlink>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5420" w:type="dxa"/>
            <w:vAlign w:val="bottom"/>
            <w:gridSpan w:val="14"/>
            <w:shd w:val="clear" w:color="auto" w:fill="CBDBD1"/>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Removed and Reserved</w:t>
              </w:r>
            </w:hyperlink>
          </w:p>
        </w:tc>
        <w:tc>
          <w:tcPr>
            <w:tcW w:w="360" w:type="dxa"/>
            <w:vAlign w:val="bottom"/>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12</w:t>
              </w:r>
            </w:hyperlink>
          </w:p>
        </w:tc>
        <w:tc>
          <w:tcPr>
            <w:tcW w:w="26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62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5420" w:type="dxa"/>
            <w:vAlign w:val="bottom"/>
            <w:gridSpan w:val="14"/>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360" w:type="dxa"/>
            <w:vAlign w:val="bottom"/>
            <w:gridSpan w:val="4"/>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12</w:t>
              </w:r>
            </w:hyperlink>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5420" w:type="dxa"/>
            <w:vAlign w:val="bottom"/>
            <w:gridSpan w:val="14"/>
            <w:shd w:val="clear" w:color="auto" w:fill="CBDBD1"/>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360" w:type="dxa"/>
            <w:vAlign w:val="bottom"/>
            <w:gridSpan w:val="4"/>
            <w:shd w:val="clear" w:color="auto" w:fill="CBDBD1"/>
          </w:tcPr>
          <w:p>
            <w:pPr>
              <w:jc w:val="center"/>
              <w:ind w:right="2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12</w:t>
              </w:r>
            </w:hyperlink>
          </w:p>
        </w:tc>
        <w:tc>
          <w:tcPr>
            <w:tcW w:w="260" w:type="dxa"/>
            <w:vAlign w:val="bottom"/>
            <w:shd w:val="clear" w:color="auto" w:fill="CBDBD1"/>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3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160" w:type="dxa"/>
            <w:vAlign w:val="bottom"/>
            <w:tcBorders>
              <w:top w:val="single" w:sz="8" w:color="CBDBD1"/>
            </w:tcBorders>
          </w:tcPr>
          <w:p>
            <w:pPr>
              <w:spacing w:after="0"/>
              <w:rPr>
                <w:sz w:val="24"/>
                <w:szCs w:val="24"/>
                <w:color w:val="auto"/>
              </w:rPr>
            </w:pPr>
          </w:p>
        </w:tc>
        <w:tc>
          <w:tcPr>
            <w:tcW w:w="140" w:type="dxa"/>
            <w:vAlign w:val="bottom"/>
            <w:tcBorders>
              <w:top w:val="single" w:sz="8" w:color="CBDBD1"/>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360" w:type="dxa"/>
            <w:vAlign w:val="bottom"/>
            <w:tcBorders>
              <w:top w:val="single" w:sz="8" w:color="CBDBD1"/>
            </w:tcBorders>
            <w:gridSpan w:val="9"/>
          </w:tcPr>
          <w:p>
            <w:pPr>
              <w:jc w:val="center"/>
              <w:ind w:left="290"/>
              <w:spacing w:after="0"/>
              <w:rPr>
                <w:sz w:val="20"/>
                <w:szCs w:val="20"/>
                <w:color w:val="auto"/>
              </w:rPr>
            </w:pPr>
            <w:r>
              <w:rPr>
                <w:rFonts w:ascii="Arial" w:cs="Arial" w:eastAsia="Arial" w:hAnsi="Arial"/>
                <w:sz w:val="18"/>
                <w:szCs w:val="18"/>
                <w:color w:val="auto"/>
                <w:w w:val="99"/>
              </w:rPr>
              <w:t>2</w:t>
            </w:r>
          </w:p>
        </w:tc>
        <w:tc>
          <w:tcPr>
            <w:tcW w:w="400" w:type="dxa"/>
            <w:vAlign w:val="bottom"/>
            <w:tcBorders>
              <w:top w:val="single" w:sz="8" w:color="CBDBD1"/>
            </w:tcBorders>
          </w:tcPr>
          <w:p>
            <w:pPr>
              <w:spacing w:after="0"/>
              <w:rPr>
                <w:sz w:val="24"/>
                <w:szCs w:val="24"/>
                <w:color w:val="auto"/>
              </w:rPr>
            </w:pPr>
          </w:p>
        </w:tc>
        <w:tc>
          <w:tcPr>
            <w:tcW w:w="500" w:type="dxa"/>
            <w:vAlign w:val="bottom"/>
            <w:tcBorders>
              <w:top w:val="single" w:sz="8" w:color="CBDBD1"/>
            </w:tcBorders>
          </w:tcPr>
          <w:p>
            <w:pPr>
              <w:spacing w:after="0"/>
              <w:rPr>
                <w:sz w:val="24"/>
                <w:szCs w:val="24"/>
                <w:color w:val="auto"/>
              </w:rPr>
            </w:pPr>
          </w:p>
        </w:tc>
        <w:tc>
          <w:tcPr>
            <w:tcW w:w="420" w:type="dxa"/>
            <w:vAlign w:val="bottom"/>
            <w:tcBorders>
              <w:top w:val="single" w:sz="8" w:color="CBDBD1"/>
            </w:tcBorders>
          </w:tcPr>
          <w:p>
            <w:pPr>
              <w:spacing w:after="0"/>
              <w:rPr>
                <w:sz w:val="24"/>
                <w:szCs w:val="24"/>
                <w:color w:val="auto"/>
              </w:rPr>
            </w:pPr>
          </w:p>
        </w:tc>
        <w:tc>
          <w:tcPr>
            <w:tcW w:w="80" w:type="dxa"/>
            <w:vAlign w:val="bottom"/>
            <w:tcBorders>
              <w:top w:val="single" w:sz="8" w:color="CBDBD1"/>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260" w:type="dxa"/>
            <w:vAlign w:val="bottom"/>
            <w:tcBorders>
              <w:top w:val="single" w:sz="8" w:color="CBDBD1"/>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52" w:lineRule="exact"/>
        <w:rPr>
          <w:sz w:val="20"/>
          <w:szCs w:val="20"/>
          <w:color w:val="auto"/>
        </w:rPr>
      </w:pPr>
    </w:p>
    <w:p>
      <w:pPr>
        <w:ind w:right="3920"/>
        <w:spacing w:after="0" w:line="291"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F-1 Consolidated Balance Sheets as of September 30, 2010 (unaudited) and December 31, 2009;</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F-2 Consolidated Statements of Operations for the three months ended September 30, 2010 and 2009;</w:t>
        </w:r>
      </w:hyperlink>
    </w:p>
    <w:p>
      <w:pPr>
        <w:ind w:left="460" w:right="160" w:hanging="458"/>
        <w:spacing w:after="0" w:line="250" w:lineRule="auto"/>
        <w:tabs>
          <w:tab w:leader="none" w:pos="440" w:val="left"/>
        </w:tabs>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F-3</w:t>
        </w:r>
      </w:hyperlink>
      <w:r>
        <w:rPr>
          <w:rFonts w:ascii="Arial" w:cs="Arial" w:eastAsia="Arial" w:hAnsi="Arial"/>
          <w:sz w:val="18"/>
          <w:szCs w:val="18"/>
          <w:u w:val="single" w:color="auto"/>
          <w:color w:val="0000EE"/>
        </w:rPr>
        <w:tab/>
      </w:r>
      <w:hyperlink w:anchor="page6">
        <w:r>
          <w:rPr>
            <w:rFonts w:ascii="Arial" w:cs="Arial" w:eastAsia="Arial" w:hAnsi="Arial"/>
            <w:sz w:val="18"/>
            <w:szCs w:val="18"/>
            <w:u w:val="single" w:color="auto"/>
            <w:color w:val="0000EE"/>
          </w:rPr>
          <w:t>Consolidated Statements of Operations for the nine months ended September 30, 2010 and 2009 and for the period from January 31, 2006 (Inception)</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to September 30, 2010 (unaudited);</w:t>
        </w:r>
      </w:hyperlink>
    </w:p>
    <w:p>
      <w:pPr>
        <w:spacing w:after="0" w:line="1" w:lineRule="exact"/>
        <w:rPr>
          <w:rFonts w:ascii="Arial" w:cs="Arial" w:eastAsia="Arial" w:hAnsi="Arial"/>
          <w:sz w:val="18"/>
          <w:szCs w:val="18"/>
          <w:u w:val="single" w:color="auto"/>
          <w:color w:val="0000EE"/>
        </w:rPr>
      </w:pPr>
    </w:p>
    <w:p>
      <w:pPr>
        <w:spacing w:after="0"/>
        <w:tabs>
          <w:tab w:leader="none" w:pos="44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F-4</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Consolidated Statement of Stockholders’ Equity as of September 30, 2010 (unaudited);</w:t>
        </w:r>
      </w:hyperlink>
    </w:p>
    <w:p>
      <w:pPr>
        <w:spacing w:after="0" w:line="9" w:lineRule="exact"/>
        <w:rPr>
          <w:sz w:val="20"/>
          <w:szCs w:val="20"/>
          <w:color w:val="auto"/>
        </w:rPr>
      </w:pPr>
    </w:p>
    <w:p>
      <w:pPr>
        <w:ind w:left="460" w:right="180" w:hanging="458"/>
        <w:spacing w:after="0" w:line="250" w:lineRule="auto"/>
        <w:tabs>
          <w:tab w:leader="none" w:pos="440" w:val="left"/>
        </w:tabs>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F-5</w:t>
        </w:r>
      </w:hyperlink>
      <w:r>
        <w:rPr>
          <w:rFonts w:ascii="Arial" w:cs="Arial" w:eastAsia="Arial" w:hAnsi="Arial"/>
          <w:sz w:val="18"/>
          <w:szCs w:val="18"/>
          <w:u w:val="single" w:color="auto"/>
          <w:color w:val="0000EE"/>
        </w:rPr>
        <w:tab/>
      </w:r>
      <w:hyperlink w:anchor="page8">
        <w:r>
          <w:rPr>
            <w:rFonts w:ascii="Arial" w:cs="Arial" w:eastAsia="Arial" w:hAnsi="Arial"/>
            <w:sz w:val="18"/>
            <w:szCs w:val="18"/>
            <w:u w:val="single" w:color="auto"/>
            <w:color w:val="0000EE"/>
          </w:rPr>
          <w:t>Consolidated Statements of Cash Flow for the nine months ended September 30, 2010 and 2009 and for the period from January 31, 2006 (Inception)</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to September 30, 2010 (unaudited);</w:t>
        </w:r>
      </w:hyperlink>
    </w:p>
    <w:p>
      <w:pPr>
        <w:spacing w:after="0" w:line="1" w:lineRule="exact"/>
        <w:rPr>
          <w:rFonts w:ascii="Arial" w:cs="Arial" w:eastAsia="Arial" w:hAnsi="Arial"/>
          <w:sz w:val="18"/>
          <w:szCs w:val="18"/>
          <w:u w:val="single" w:color="auto"/>
          <w:color w:val="0000EE"/>
        </w:rPr>
      </w:pPr>
    </w:p>
    <w:p>
      <w:pPr>
        <w:spacing w:after="0"/>
        <w:tabs>
          <w:tab w:leader="none" w:pos="440" w:val="left"/>
        </w:tabs>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F-6</w:t>
        </w:r>
      </w:hyperlink>
      <w:r>
        <w:rPr>
          <w:rFonts w:ascii="Arial" w:cs="Arial" w:eastAsia="Arial" w:hAnsi="Arial"/>
          <w:sz w:val="18"/>
          <w:szCs w:val="18"/>
          <w:u w:val="single" w:color="auto"/>
          <w:color w:val="0000EE"/>
        </w:rPr>
        <w:tab/>
      </w:r>
      <w:hyperlink w:anchor="page9">
        <w:r>
          <w:rPr>
            <w:rFonts w:ascii="Arial" w:cs="Arial" w:eastAsia="Arial" w:hAnsi="Arial"/>
            <w:sz w:val="16"/>
            <w:szCs w:val="16"/>
            <w:u w:val="single" w:color="auto"/>
            <w:color w:val="0000EE"/>
          </w:rPr>
          <w:t>Notes to Consolidated Financial Statements.</w:t>
        </w:r>
      </w:hyperlink>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2010 are not necessarily indicative of the results that can be expected for the full year.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SEPTEMBER 30, 2010 (UNAUDITED) AND DECEMBER 31, 2009</w:t>
      </w:r>
    </w:p>
    <w:p>
      <w:pPr>
        <w:spacing w:after="0" w:line="23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September 30, 2010</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December 31, 2009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674,375</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35,675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BDBD1"/>
          </w:tcPr>
          <w:p>
            <w:pPr>
              <w:spacing w:after="0"/>
              <w:rPr>
                <w:sz w:val="19"/>
                <w:szCs w:val="19"/>
                <w:color w:val="auto"/>
              </w:rPr>
            </w:pPr>
          </w:p>
        </w:tc>
        <w:tc>
          <w:tcPr>
            <w:tcW w:w="16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10,588</w:t>
            </w:r>
          </w:p>
        </w:tc>
        <w:tc>
          <w:tcPr>
            <w:tcW w:w="100" w:type="dxa"/>
            <w:vAlign w:val="bottom"/>
            <w:shd w:val="clear" w:color="auto" w:fill="CBDBD1"/>
          </w:tcPr>
          <w:p>
            <w:pPr>
              <w:spacing w:after="0"/>
              <w:rPr>
                <w:sz w:val="19"/>
                <w:szCs w:val="19"/>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BDBD1"/>
            </w:tcBorders>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720,638</w:t>
            </w:r>
          </w:p>
        </w:tc>
        <w:tc>
          <w:tcPr>
            <w:tcW w:w="120" w:type="dxa"/>
            <w:vAlign w:val="bottom"/>
            <w:tcBorders>
              <w:top w:val="single" w:sz="8" w:color="CBDBD1"/>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13,514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13,581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80" w:type="dxa"/>
            <w:vAlign w:val="bottom"/>
            <w:tcBorders>
              <w:top w:val="single" w:sz="8" w:color="auto"/>
            </w:tcBorders>
            <w:shd w:val="clear" w:color="auto" w:fill="CBDBD1"/>
          </w:tcPr>
          <w:p>
            <w:pPr>
              <w:spacing w:after="0"/>
              <w:rPr>
                <w:sz w:val="18"/>
                <w:szCs w:val="18"/>
                <w:color w:val="auto"/>
              </w:rPr>
            </w:pPr>
          </w:p>
        </w:tc>
        <w:tc>
          <w:tcPr>
            <w:tcW w:w="154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54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Patent rights</w:t>
            </w: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974,762</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License fees, net</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BDBD1"/>
            </w:tcBorders>
            <w:shd w:val="clear" w:color="auto" w:fill="CBDBD1"/>
          </w:tcPr>
          <w:p>
            <w:pPr>
              <w:ind w:left="320"/>
              <w:spacing w:after="0"/>
              <w:rPr>
                <w:sz w:val="20"/>
                <w:szCs w:val="20"/>
                <w:color w:val="auto"/>
              </w:rPr>
            </w:pPr>
            <w:r>
              <w:rPr>
                <w:rFonts w:ascii="Arial" w:cs="Arial" w:eastAsia="Arial" w:hAnsi="Arial"/>
                <w:sz w:val="18"/>
                <w:szCs w:val="18"/>
                <w:color w:val="auto"/>
              </w:rPr>
              <w:t>Website development costs, net</w:t>
            </w:r>
          </w:p>
        </w:tc>
        <w:tc>
          <w:tcPr>
            <w:tcW w:w="80" w:type="dxa"/>
            <w:vAlign w:val="bottom"/>
            <w:tcBorders>
              <w:bottom w:val="single" w:sz="8" w:color="auto"/>
            </w:tcBorders>
            <w:shd w:val="clear" w:color="auto" w:fill="CBDBD1"/>
          </w:tcPr>
          <w:p>
            <w:pPr>
              <w:spacing w:after="0"/>
              <w:rPr>
                <w:sz w:val="19"/>
                <w:szCs w:val="19"/>
                <w:color w:val="auto"/>
              </w:rPr>
            </w:pPr>
          </w:p>
        </w:tc>
        <w:tc>
          <w:tcPr>
            <w:tcW w:w="15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328,950</w:t>
            </w:r>
          </w:p>
        </w:tc>
        <w:tc>
          <w:tcPr>
            <w:tcW w:w="12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15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197,610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Other Assets</w:t>
            </w: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1,318,712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2,052,864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57,414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Accounts payable – related party</w:t>
            </w: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570,000</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shd w:val="clear" w:color="auto" w:fill="CBDBD1"/>
          </w:tcPr>
          <w:p>
            <w:pPr>
              <w:spacing w:after="0"/>
              <w:rPr>
                <w:sz w:val="19"/>
                <w:szCs w:val="19"/>
                <w:color w:val="auto"/>
              </w:rPr>
            </w:pPr>
          </w:p>
        </w:tc>
        <w:tc>
          <w:tcPr>
            <w:tcW w:w="1540" w:type="dxa"/>
            <w:vAlign w:val="bottom"/>
            <w:tcBorders>
              <w:top w:val="single" w:sz="8" w:color="auto"/>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627,414</w:t>
            </w:r>
          </w:p>
        </w:tc>
        <w:tc>
          <w:tcPr>
            <w:tcW w:w="12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top w:val="single" w:sz="8" w:color="auto"/>
              <w:bottom w:val="single" w:sz="8" w:color="auto"/>
            </w:tcBorders>
            <w:shd w:val="clear" w:color="auto" w:fill="CBDBD1"/>
          </w:tcPr>
          <w:p>
            <w:pPr>
              <w:spacing w:after="0"/>
              <w:rPr>
                <w:sz w:val="19"/>
                <w:szCs w:val="19"/>
                <w:color w:val="auto"/>
              </w:rPr>
            </w:pPr>
          </w:p>
        </w:tc>
        <w:tc>
          <w:tcPr>
            <w:tcW w:w="1540" w:type="dxa"/>
            <w:vAlign w:val="bottom"/>
            <w:tcBorders>
              <w:top w:val="single" w:sz="8" w:color="auto"/>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37,830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BDBD1"/>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ind w:left="320"/>
              <w:spacing w:after="0" w:line="201" w:lineRule="exact"/>
              <w:rPr>
                <w:sz w:val="20"/>
                <w:szCs w:val="20"/>
                <w:color w:val="auto"/>
              </w:rPr>
            </w:pPr>
            <w:r>
              <w:rPr>
                <w:rFonts w:ascii="Arial" w:cs="Arial" w:eastAsia="Arial" w:hAnsi="Arial"/>
                <w:sz w:val="18"/>
                <w:szCs w:val="18"/>
                <w:color w:val="auto"/>
                <w:w w:val="98"/>
              </w:rPr>
              <w:t>Common stock, $0.001 par value, 500,000,000</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shares authorized,</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13,233,754 shares issued and outstanding</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(12,826,117 – 2009)</w:t>
            </w:r>
          </w:p>
        </w:tc>
        <w:tc>
          <w:tcPr>
            <w:tcW w:w="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13,234</w:t>
            </w: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BDBD1"/>
          </w:tcPr>
          <w:p>
            <w:pPr>
              <w:ind w:left="320"/>
              <w:spacing w:after="0" w:line="201" w:lineRule="exact"/>
              <w:rPr>
                <w:sz w:val="20"/>
                <w:szCs w:val="20"/>
                <w:color w:val="auto"/>
              </w:rPr>
            </w:pPr>
            <w:r>
              <w:rPr>
                <w:rFonts w:ascii="Arial" w:cs="Arial" w:eastAsia="Arial" w:hAnsi="Arial"/>
                <w:sz w:val="18"/>
                <w:szCs w:val="18"/>
                <w:color w:val="auto"/>
                <w:w w:val="97"/>
              </w:rPr>
              <w:t>Series A Convertible Preferred stock, $.001 par</w:t>
            </w:r>
          </w:p>
        </w:tc>
        <w:tc>
          <w:tcPr>
            <w:tcW w:w="80" w:type="dxa"/>
            <w:vAlign w:val="bottom"/>
            <w:shd w:val="clear" w:color="auto" w:fill="CBDBD1"/>
          </w:tcPr>
          <w:p>
            <w:pPr>
              <w:spacing w:after="0"/>
              <w:rPr>
                <w:sz w:val="17"/>
                <w:szCs w:val="17"/>
                <w:color w:val="auto"/>
              </w:rPr>
            </w:pPr>
          </w:p>
        </w:tc>
        <w:tc>
          <w:tcPr>
            <w:tcW w:w="154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5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value, 1,000 shares</w:t>
            </w: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w w:val="89"/>
              </w:rPr>
              <w:t>authorized, 35 shares issued and outstanding (35 –</w:t>
            </w: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BDBD1"/>
          </w:tcPr>
          <w:p>
            <w:pPr>
              <w:spacing w:after="0"/>
              <w:rPr>
                <w:sz w:val="20"/>
                <w:szCs w:val="20"/>
                <w:color w:val="auto"/>
              </w:rPr>
            </w:pPr>
          </w:p>
        </w:tc>
        <w:tc>
          <w:tcPr>
            <w:tcW w:w="16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20"/>
                <w:szCs w:val="20"/>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ind w:left="320"/>
              <w:spacing w:after="0" w:line="201" w:lineRule="exact"/>
              <w:rPr>
                <w:sz w:val="20"/>
                <w:szCs w:val="20"/>
                <w:color w:val="auto"/>
              </w:rPr>
            </w:pPr>
            <w:r>
              <w:rPr>
                <w:rFonts w:ascii="Arial" w:cs="Arial" w:eastAsia="Arial" w:hAnsi="Arial"/>
                <w:sz w:val="18"/>
                <w:szCs w:val="18"/>
                <w:color w:val="auto"/>
                <w:w w:val="97"/>
              </w:rPr>
              <w:t>Series B Convertible Preferred stock, $.001 par</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value, 1,000 shares</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w w:val="92"/>
              </w:rPr>
              <w:t>authorized, 15 shares issued and outstanding (0 –</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34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rPr>
              <w:t>Stock warrants</w:t>
            </w:r>
          </w:p>
        </w:tc>
        <w:tc>
          <w:tcPr>
            <w:tcW w:w="80" w:type="dxa"/>
            <w:vAlign w:val="bottom"/>
            <w:shd w:val="clear" w:color="auto" w:fill="CBDBD1"/>
          </w:tcPr>
          <w:p>
            <w:pPr>
              <w:spacing w:after="0"/>
              <w:rPr>
                <w:sz w:val="18"/>
                <w:szCs w:val="18"/>
                <w:color w:val="auto"/>
              </w:rPr>
            </w:pPr>
          </w:p>
        </w:tc>
        <w:tc>
          <w:tcPr>
            <w:tcW w:w="16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23,170,961</w:t>
            </w: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18,139,252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1,747,962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BDBD1"/>
          </w:tcPr>
          <w:p>
            <w:pPr>
              <w:ind w:left="320"/>
              <w:spacing w:after="0"/>
              <w:rPr>
                <w:sz w:val="20"/>
                <w:szCs w:val="20"/>
                <w:color w:val="auto"/>
              </w:rPr>
            </w:pPr>
            <w:r>
              <w:rPr>
                <w:rFonts w:ascii="Arial" w:cs="Arial" w:eastAsia="Arial" w:hAnsi="Arial"/>
                <w:sz w:val="18"/>
                <w:szCs w:val="18"/>
                <w:color w:val="auto"/>
                <w:w w:val="92"/>
              </w:rPr>
              <w:t>Deficit accumulated during the development stage</w:t>
            </w:r>
          </w:p>
        </w:tc>
        <w:tc>
          <w:tcPr>
            <w:tcW w:w="80" w:type="dxa"/>
            <w:vAlign w:val="bottom"/>
            <w:shd w:val="clear" w:color="auto" w:fill="CBDBD1"/>
          </w:tcPr>
          <w:p>
            <w:pPr>
              <w:spacing w:after="0"/>
              <w:rPr>
                <w:sz w:val="19"/>
                <w:szCs w:val="19"/>
                <w:color w:val="auto"/>
              </w:rPr>
            </w:pPr>
          </w:p>
        </w:tc>
        <w:tc>
          <w:tcPr>
            <w:tcW w:w="16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(21,758,745)</w:t>
            </w:r>
          </w:p>
        </w:tc>
        <w:tc>
          <w:tcPr>
            <w:tcW w:w="100" w:type="dxa"/>
            <w:vAlign w:val="bottom"/>
            <w:shd w:val="clear" w:color="auto" w:fill="CBDBD1"/>
          </w:tcPr>
          <w:p>
            <w:pPr>
              <w:spacing w:after="0"/>
              <w:rPr>
                <w:sz w:val="19"/>
                <w:szCs w:val="19"/>
                <w:color w:val="auto"/>
              </w:rPr>
            </w:pPr>
          </w:p>
        </w:tc>
        <w:tc>
          <w:tcPr>
            <w:tcW w:w="1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(19,047,728)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BDBD1"/>
            </w:tcBorders>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1,425,450</w:t>
            </w:r>
          </w:p>
        </w:tc>
        <w:tc>
          <w:tcPr>
            <w:tcW w:w="120" w:type="dxa"/>
            <w:vAlign w:val="bottom"/>
            <w:tcBorders>
              <w:top w:val="single" w:sz="8" w:color="CBDBD1"/>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5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TOTAL LIABILITIES AND STOCKHOLDERS'</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2,052,864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890,142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200"/>
        <w:spacing w:after="0" w:line="232" w:lineRule="auto"/>
        <w:rPr>
          <w:sz w:val="20"/>
          <w:szCs w:val="20"/>
          <w:color w:val="auto"/>
        </w:rPr>
      </w:pPr>
      <w:r>
        <w:rPr>
          <w:rFonts w:ascii="Arial" w:cs="Arial" w:eastAsia="Arial" w:hAnsi="Arial"/>
          <w:sz w:val="22"/>
          <w:szCs w:val="22"/>
          <w:b w:val="1"/>
          <w:bCs w:val="1"/>
          <w:color w:val="auto"/>
        </w:rPr>
        <w:t>OPTIMIZERx CORPORATION</w:t>
      </w:r>
    </w:p>
    <w:p>
      <w:pPr>
        <w:jc w:val="center"/>
        <w:ind w:right="-1200"/>
        <w:spacing w:after="0" w:line="231" w:lineRule="auto"/>
        <w:rPr>
          <w:sz w:val="20"/>
          <w:szCs w:val="20"/>
          <w:color w:val="auto"/>
        </w:rPr>
      </w:pPr>
      <w:r>
        <w:rPr>
          <w:rFonts w:ascii="Arial" w:cs="Arial" w:eastAsia="Arial" w:hAnsi="Arial"/>
          <w:sz w:val="22"/>
          <w:szCs w:val="22"/>
          <w:b w:val="1"/>
          <w:bCs w:val="1"/>
          <w:color w:val="auto"/>
        </w:rPr>
        <w:t>(A DEVELOPMENT STAGE COMPANY)</w:t>
      </w:r>
    </w:p>
    <w:p>
      <w:pPr>
        <w:jc w:val="center"/>
        <w:ind w:right="-1200"/>
        <w:spacing w:after="0" w:line="230" w:lineRule="auto"/>
        <w:rPr>
          <w:sz w:val="20"/>
          <w:szCs w:val="20"/>
          <w:color w:val="auto"/>
        </w:rPr>
      </w:pPr>
      <w:r>
        <w:rPr>
          <w:rFonts w:ascii="Arial" w:cs="Arial" w:eastAsia="Arial" w:hAnsi="Arial"/>
          <w:sz w:val="22"/>
          <w:szCs w:val="22"/>
          <w:b w:val="1"/>
          <w:bCs w:val="1"/>
          <w:color w:val="auto"/>
        </w:rPr>
        <w:t>CONSOLIDATED STATEMENTS OF OPERATIONS (UNAUDITED)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FOR THE THREE MONTHS ENDED SEPTEMBER 30, 2010 AND 2009</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89"/>
              </w:rPr>
              <w:t>For the Three</w:t>
            </w:r>
          </w:p>
        </w:tc>
        <w:tc>
          <w:tcPr>
            <w:tcW w:w="12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color w:val="auto"/>
                <w:w w:val="90"/>
              </w:rPr>
              <w:t>For the Three Months</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91"/>
              </w:rPr>
              <w:t>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 2010</w:t>
            </w:r>
          </w:p>
        </w:tc>
        <w:tc>
          <w:tcPr>
            <w:tcW w:w="12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 2009</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40,676</w:t>
            </w:r>
          </w:p>
        </w:tc>
        <w:tc>
          <w:tcPr>
            <w:tcW w:w="360" w:type="dxa"/>
            <w:vAlign w:val="bottom"/>
            <w:gridSpan w:val="2"/>
            <w:shd w:val="clear" w:color="auto" w:fill="CBDBD1"/>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auto"/>
            </w:tcBorders>
            <w:shd w:val="clear" w:color="auto" w:fill="CBDBD1"/>
          </w:tcPr>
          <w:p>
            <w:pPr>
              <w:spacing w:after="0"/>
              <w:rPr>
                <w:sz w:val="19"/>
                <w:szCs w:val="19"/>
                <w:color w:val="auto"/>
              </w:rPr>
            </w:pPr>
          </w:p>
        </w:tc>
        <w:tc>
          <w:tcPr>
            <w:tcW w:w="14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545,889</w:t>
            </w:r>
          </w:p>
        </w:tc>
        <w:tc>
          <w:tcPr>
            <w:tcW w:w="120" w:type="dxa"/>
            <w:vAlign w:val="bottom"/>
            <w:tcBorders>
              <w:bottom w:val="single" w:sz="8" w:color="CBDBD1"/>
            </w:tcBorders>
            <w:shd w:val="clear" w:color="auto" w:fill="CBDBD1"/>
          </w:tcPr>
          <w:p>
            <w:pPr>
              <w:spacing w:after="0"/>
              <w:rPr>
                <w:sz w:val="19"/>
                <w:szCs w:val="19"/>
                <w:color w:val="auto"/>
              </w:rPr>
            </w:pPr>
          </w:p>
        </w:tc>
        <w:tc>
          <w:tcPr>
            <w:tcW w:w="240" w:type="dxa"/>
            <w:vAlign w:val="bottom"/>
            <w:tcBorders>
              <w:bottom w:val="single" w:sz="8" w:color="auto"/>
            </w:tcBorders>
            <w:shd w:val="clear" w:color="auto" w:fill="CBDBD1"/>
          </w:tcPr>
          <w:p>
            <w:pPr>
              <w:spacing w:after="0"/>
              <w:rPr>
                <w:sz w:val="19"/>
                <w:szCs w:val="19"/>
                <w:color w:val="auto"/>
              </w:rPr>
            </w:pPr>
          </w:p>
        </w:tc>
        <w:tc>
          <w:tcPr>
            <w:tcW w:w="13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625,953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bottom w:val="single" w:sz="8" w:color="auto"/>
            </w:tcBorders>
            <w:shd w:val="clear" w:color="auto" w:fill="CBDBD1"/>
          </w:tcPr>
          <w:p>
            <w:pPr>
              <w:spacing w:after="0"/>
              <w:rPr>
                <w:sz w:val="19"/>
                <w:szCs w:val="19"/>
                <w:color w:val="auto"/>
              </w:rPr>
            </w:pPr>
          </w:p>
        </w:tc>
        <w:tc>
          <w:tcPr>
            <w:tcW w:w="14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(505,213)</w:t>
            </w:r>
          </w:p>
        </w:tc>
        <w:tc>
          <w:tcPr>
            <w:tcW w:w="120" w:type="dxa"/>
            <w:vAlign w:val="bottom"/>
            <w:tcBorders>
              <w:bottom w:val="single" w:sz="8" w:color="CBDBD1"/>
            </w:tcBorders>
            <w:shd w:val="clear" w:color="auto" w:fill="CBDBD1"/>
          </w:tcPr>
          <w:p>
            <w:pPr>
              <w:spacing w:after="0"/>
              <w:rPr>
                <w:sz w:val="19"/>
                <w:szCs w:val="19"/>
                <w:color w:val="auto"/>
              </w:rPr>
            </w:pPr>
          </w:p>
        </w:tc>
        <w:tc>
          <w:tcPr>
            <w:tcW w:w="240" w:type="dxa"/>
            <w:vAlign w:val="bottom"/>
            <w:tcBorders>
              <w:bottom w:val="single" w:sz="8" w:color="auto"/>
            </w:tcBorders>
            <w:shd w:val="clear" w:color="auto" w:fill="CBDBD1"/>
          </w:tcPr>
          <w:p>
            <w:pPr>
              <w:spacing w:after="0"/>
              <w:rPr>
                <w:sz w:val="19"/>
                <w:szCs w:val="19"/>
                <w:color w:val="auto"/>
              </w:rPr>
            </w:pPr>
          </w:p>
        </w:tc>
        <w:tc>
          <w:tcPr>
            <w:tcW w:w="13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(619,045)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3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BDBD1"/>
            </w:tcBorders>
            <w:shd w:val="clear" w:color="auto" w:fill="CBDBD1"/>
          </w:tcPr>
          <w:p>
            <w:pPr>
              <w:ind w:left="3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BDBD1"/>
          </w:tcPr>
          <w:p>
            <w:pPr>
              <w:spacing w:after="0"/>
              <w:rPr>
                <w:sz w:val="19"/>
                <w:szCs w:val="19"/>
                <w:color w:val="auto"/>
              </w:rPr>
            </w:pPr>
          </w:p>
        </w:tc>
        <w:tc>
          <w:tcPr>
            <w:tcW w:w="14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BDBD1"/>
            </w:tcBorders>
            <w:shd w:val="clear" w:color="auto" w:fill="CBDBD1"/>
          </w:tcPr>
          <w:p>
            <w:pPr>
              <w:spacing w:after="0"/>
              <w:rPr>
                <w:sz w:val="19"/>
                <w:szCs w:val="19"/>
                <w:color w:val="auto"/>
              </w:rPr>
            </w:pPr>
          </w:p>
        </w:tc>
        <w:tc>
          <w:tcPr>
            <w:tcW w:w="240" w:type="dxa"/>
            <w:vAlign w:val="bottom"/>
            <w:tcBorders>
              <w:bottom w:val="single" w:sz="8" w:color="auto"/>
            </w:tcBorders>
            <w:shd w:val="clear" w:color="auto" w:fill="CBDBD1"/>
          </w:tcPr>
          <w:p>
            <w:pPr>
              <w:spacing w:after="0"/>
              <w:rPr>
                <w:sz w:val="19"/>
                <w:szCs w:val="19"/>
                <w:color w:val="auto"/>
              </w:rPr>
            </w:pPr>
          </w:p>
        </w:tc>
        <w:tc>
          <w:tcPr>
            <w:tcW w:w="13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3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(504,578)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3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3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(504,578)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(614,095)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3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WEIGHTED AVERAGE NUMBER OF SHARES OUTSTANDING:</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13,233,754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12,609,094</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13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139"/>
        <w:spacing w:after="0" w:line="232" w:lineRule="auto"/>
        <w:rPr>
          <w:sz w:val="20"/>
          <w:szCs w:val="20"/>
          <w:color w:val="auto"/>
        </w:rPr>
      </w:pPr>
      <w:r>
        <w:rPr>
          <w:rFonts w:ascii="Arial" w:cs="Arial" w:eastAsia="Arial" w:hAnsi="Arial"/>
          <w:sz w:val="22"/>
          <w:szCs w:val="22"/>
          <w:b w:val="1"/>
          <w:bCs w:val="1"/>
          <w:color w:val="auto"/>
        </w:rPr>
        <w:t>OPTIMIZERx CORPORATION</w:t>
      </w:r>
    </w:p>
    <w:p>
      <w:pPr>
        <w:jc w:val="center"/>
        <w:ind w:right="-1139"/>
        <w:spacing w:after="0" w:line="231" w:lineRule="auto"/>
        <w:rPr>
          <w:sz w:val="20"/>
          <w:szCs w:val="20"/>
          <w:color w:val="auto"/>
        </w:rPr>
      </w:pPr>
      <w:r>
        <w:rPr>
          <w:rFonts w:ascii="Arial" w:cs="Arial" w:eastAsia="Arial" w:hAnsi="Arial"/>
          <w:sz w:val="22"/>
          <w:szCs w:val="22"/>
          <w:b w:val="1"/>
          <w:bCs w:val="1"/>
          <w:color w:val="auto"/>
        </w:rPr>
        <w:t>(A DEVELOPMENT STAGE COMPANY)</w:t>
      </w:r>
    </w:p>
    <w:p>
      <w:pPr>
        <w:ind w:left="2420" w:right="1280" w:firstLine="14"/>
        <w:spacing w:after="0" w:line="241" w:lineRule="auto"/>
        <w:rPr>
          <w:sz w:val="20"/>
          <w:szCs w:val="20"/>
          <w:color w:val="auto"/>
        </w:rPr>
      </w:pPr>
      <w:r>
        <w:rPr>
          <w:rFonts w:ascii="Arial" w:cs="Arial" w:eastAsia="Arial" w:hAnsi="Arial"/>
          <w:sz w:val="21"/>
          <w:szCs w:val="21"/>
          <w:b w:val="1"/>
          <w:bCs w:val="1"/>
          <w:color w:val="auto"/>
        </w:rPr>
        <w:t>CONSOLIDATED STATEMENTS OF OPERATIONS (UNAUDITED) FOR THE NINE MONTHS ENDED SEPTEMBER 30, 2010 AND 2009</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FOR THE PERIOD FROM JANUARY 31, 2006 (INCEPTION) TO SEPTEMBER 30, 2010</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1"/>
              </w:rPr>
              <w:t>For the 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2"/>
              </w:rPr>
              <w:t>For the Nine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5"/>
              <w:spacing w:after="0"/>
              <w:rPr>
                <w:sz w:val="20"/>
                <w:szCs w:val="20"/>
                <w:color w:val="auto"/>
              </w:rPr>
            </w:pPr>
            <w:r>
              <w:rPr>
                <w:rFonts w:ascii="Arial" w:cs="Arial" w:eastAsia="Arial" w:hAnsi="Arial"/>
                <w:sz w:val="18"/>
                <w:szCs w:val="18"/>
                <w:color w:val="auto"/>
                <w:w w:val="90"/>
              </w:rPr>
              <w:t>For the Nine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color w:val="auto"/>
                <w:w w:val="89"/>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7"/>
              </w:rPr>
              <w:t>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5"/>
              <w:spacing w:after="0"/>
              <w:rPr>
                <w:sz w:val="20"/>
                <w:szCs w:val="20"/>
                <w:color w:val="auto"/>
              </w:rPr>
            </w:pPr>
            <w:r>
              <w:rPr>
                <w:rFonts w:ascii="Arial" w:cs="Arial" w:eastAsia="Arial" w:hAnsi="Arial"/>
                <w:sz w:val="18"/>
                <w:szCs w:val="18"/>
                <w:color w:val="auto"/>
                <w:w w:val="89"/>
              </w:rPr>
              <w:t>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93"/>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spacing w:after="0"/>
              <w:rPr>
                <w:sz w:val="20"/>
                <w:szCs w:val="20"/>
                <w:color w:val="auto"/>
              </w:rPr>
            </w:pPr>
            <w:r>
              <w:rPr>
                <w:rFonts w:ascii="Arial" w:cs="Arial" w:eastAsia="Arial" w:hAnsi="Arial"/>
                <w:sz w:val="18"/>
                <w:szCs w:val="18"/>
                <w:color w:val="auto"/>
                <w:w w:val="88"/>
              </w:rPr>
              <w:t>September 30,September 30, 2010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2010 (Unaudited)</w:t>
            </w:r>
          </w:p>
        </w:tc>
        <w:tc>
          <w:tcPr>
            <w:tcW w:w="12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2009 (Unaudited)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58,679</w:t>
            </w:r>
          </w:p>
        </w:tc>
        <w:tc>
          <w:tcPr>
            <w:tcW w:w="2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11,628</w:t>
            </w:r>
          </w:p>
        </w:tc>
        <w:tc>
          <w:tcPr>
            <w:tcW w:w="240" w:type="dxa"/>
            <w:vAlign w:val="bottom"/>
            <w:gridSpan w:val="2"/>
            <w:shd w:val="clear" w:color="auto" w:fill="CBDBD1"/>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269,406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1,701,067</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2,265,831</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4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6,607,156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(1,642,388)</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(2,254,203)</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4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(6,337,750)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BDBD1"/>
          </w:tcPr>
          <w:p>
            <w:pPr>
              <w:ind w:left="3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4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BDBD1"/>
            </w:tcBorders>
            <w:shd w:val="clear" w:color="auto" w:fill="CBDBD1"/>
          </w:tcPr>
          <w:p>
            <w:pPr>
              <w:ind w:left="32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4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(4,684,537)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(2,225,075)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(10,990,767)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(1,640,449)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(2,225,075)</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(10,990,767)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 SHARES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OUTSTADING: BASIC AND DILUTED</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13,057,058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12,503,083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4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139"/>
        <w:spacing w:after="0" w:line="232" w:lineRule="auto"/>
        <w:rPr>
          <w:sz w:val="20"/>
          <w:szCs w:val="20"/>
          <w:color w:val="auto"/>
        </w:rPr>
      </w:pPr>
      <w:r>
        <w:rPr>
          <w:rFonts w:ascii="Arial" w:cs="Arial" w:eastAsia="Arial" w:hAnsi="Arial"/>
          <w:sz w:val="22"/>
          <w:szCs w:val="22"/>
          <w:b w:val="1"/>
          <w:bCs w:val="1"/>
          <w:color w:val="auto"/>
        </w:rPr>
        <w:t>OPTIMIZERx CORPORATION</w:t>
      </w:r>
    </w:p>
    <w:p>
      <w:pPr>
        <w:jc w:val="center"/>
        <w:ind w:right="-1139"/>
        <w:spacing w:after="0" w:line="231" w:lineRule="auto"/>
        <w:rPr>
          <w:sz w:val="20"/>
          <w:szCs w:val="20"/>
          <w:color w:val="auto"/>
        </w:rPr>
      </w:pPr>
      <w:r>
        <w:rPr>
          <w:rFonts w:ascii="Arial" w:cs="Arial" w:eastAsia="Arial" w:hAnsi="Arial"/>
          <w:sz w:val="22"/>
          <w:szCs w:val="22"/>
          <w:b w:val="1"/>
          <w:bCs w:val="1"/>
          <w:color w:val="auto"/>
        </w:rPr>
        <w:t>(A DEVELOPMENT STAGE COMPANY)</w:t>
      </w:r>
    </w:p>
    <w:p>
      <w:pPr>
        <w:jc w:val="center"/>
        <w:ind w:right="-1139"/>
        <w:spacing w:after="0" w:line="230" w:lineRule="auto"/>
        <w:rPr>
          <w:sz w:val="20"/>
          <w:szCs w:val="20"/>
          <w:color w:val="auto"/>
        </w:rPr>
      </w:pPr>
      <w:r>
        <w:rPr>
          <w:rFonts w:ascii="Arial" w:cs="Arial" w:eastAsia="Arial" w:hAnsi="Arial"/>
          <w:sz w:val="22"/>
          <w:szCs w:val="22"/>
          <w:b w:val="1"/>
          <w:bCs w:val="1"/>
          <w:color w:val="auto"/>
        </w:rPr>
        <w:t>CONSOLIDATED STATEMENT OF STOCKHOLDERS' EQUITY (UNAUDITED)</w:t>
      </w:r>
    </w:p>
    <w:p>
      <w:pPr>
        <w:spacing w:after="0" w:line="1"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AS OF SEPTEMBER 30, 2010</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During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9"/>
              </w:rPr>
              <w:t>Preferred Stock</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Development</w:t>
            </w:r>
          </w:p>
        </w:tc>
        <w:tc>
          <w:tcPr>
            <w:tcW w:w="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19"/>
                <w:szCs w:val="19"/>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Stage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6"/>
              </w:rPr>
              <w:t>Balance, December 31,</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2009</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5"/>
              </w:rPr>
              <w:t>12,826,117</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9"/>
              </w:rPr>
              <w:t>$ 12,826</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0</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3"/>
              </w:rPr>
              <w:t>$ 18,139,252</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1,747,962</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3"/>
              </w:rPr>
              <w:t>$ (19,047,728)</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852,312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stock for services</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103,000</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103</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201,037</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201,140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8"/>
              </w:rPr>
              <w:t>Conversion of warrants</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to common stock</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25,000</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25</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(9,881)</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18,606</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stock for preferred</w:t>
            </w:r>
          </w:p>
        </w:tc>
        <w:tc>
          <w:tcPr>
            <w:tcW w:w="8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5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dividends</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236,598</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237</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524,763</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(525,000)</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Issuance of preferred</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1,500,000</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0"/>
              </w:rPr>
              <w:t>Issuance of stock options</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for patent rights</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404,762</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404,762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8"/>
              </w:rPr>
              <w:t>Issuance of warrants in</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connection with</w:t>
            </w:r>
          </w:p>
        </w:tc>
        <w:tc>
          <w:tcPr>
            <w:tcW w:w="8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5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w w:val="92"/>
              </w:rPr>
              <w:t>preferred stock issuance</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5,096,472</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3"/>
              </w:rPr>
              <w:t>(4,550,903)</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(545,569)</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8"/>
              </w:rPr>
              <w:t>Conversion of warrants</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to common stock</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43,039</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43</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(153,816)</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153,773</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4"/>
              </w:rPr>
              <w:t>Issuance of warrants for</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98,934</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98,934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Net loss for the nine</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w w:val="87"/>
              </w:rPr>
              <w:t>months ended September</w:t>
            </w:r>
          </w:p>
        </w:tc>
        <w:tc>
          <w:tcPr>
            <w:tcW w:w="8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6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5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30, 2010</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540" w:type="dxa"/>
            <w:vAlign w:val="bottom"/>
            <w:shd w:val="clear" w:color="auto" w:fill="CBDBD1"/>
          </w:tcPr>
          <w:p>
            <w:pPr>
              <w:spacing w:after="0"/>
              <w:rPr>
                <w:sz w:val="20"/>
                <w:szCs w:val="20"/>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20"/>
                <w:szCs w:val="20"/>
                <w:color w:val="auto"/>
              </w:rPr>
            </w:pPr>
          </w:p>
        </w:tc>
        <w:tc>
          <w:tcPr>
            <w:tcW w:w="8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(1,640,449)</w:t>
            </w:r>
          </w:p>
        </w:tc>
        <w:tc>
          <w:tcPr>
            <w:tcW w:w="8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3"/>
              </w:rPr>
              <w:t>(1,640,449)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Borders>
              <w:top w:val="single" w:sz="8" w:color="CBDBD1"/>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4"/>
              </w:rPr>
              <w:t>Balance, September 30,</w:t>
            </w: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6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840" w:type="dxa"/>
            <w:vAlign w:val="bottom"/>
            <w:shd w:val="clear" w:color="auto" w:fill="CBDBD1"/>
          </w:tcPr>
          <w:p>
            <w:pPr>
              <w:spacing w:after="0"/>
              <w:rPr>
                <w:sz w:val="20"/>
                <w:szCs w:val="20"/>
                <w:color w:val="auto"/>
              </w:rPr>
            </w:pPr>
            <w:r>
              <w:rPr>
                <w:rFonts w:ascii="Arial" w:cs="Arial" w:eastAsia="Arial" w:hAnsi="Arial"/>
                <w:sz w:val="18"/>
                <w:szCs w:val="18"/>
                <w:color w:val="auto"/>
              </w:rPr>
              <w:t>2010</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5"/>
              </w:rPr>
              <w:t>13,233,754</w:t>
            </w:r>
          </w:p>
        </w:tc>
        <w:tc>
          <w:tcPr>
            <w:tcW w:w="7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9"/>
              </w:rPr>
              <w:t>$ 13,234</w:t>
            </w:r>
          </w:p>
        </w:tc>
        <w:tc>
          <w:tcPr>
            <w:tcW w:w="7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0</w:t>
            </w:r>
          </w:p>
        </w:tc>
        <w:tc>
          <w:tcPr>
            <w:tcW w:w="1000" w:type="dxa"/>
            <w:vAlign w:val="bottom"/>
            <w:gridSpan w:val="2"/>
            <w:shd w:val="clear" w:color="auto" w:fill="CBDBD1"/>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23,170,961</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(21,758,745)</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1,425,450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BDBD1"/>
            </w:tcBorders>
            <w:shd w:val="clear" w:color="auto" w:fill="CBDBD1"/>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139"/>
        <w:spacing w:after="0" w:line="232" w:lineRule="auto"/>
        <w:rPr>
          <w:sz w:val="20"/>
          <w:szCs w:val="20"/>
          <w:color w:val="auto"/>
        </w:rPr>
      </w:pPr>
      <w:r>
        <w:rPr>
          <w:rFonts w:ascii="Arial" w:cs="Arial" w:eastAsia="Arial" w:hAnsi="Arial"/>
          <w:sz w:val="22"/>
          <w:szCs w:val="22"/>
          <w:b w:val="1"/>
          <w:bCs w:val="1"/>
          <w:color w:val="auto"/>
        </w:rPr>
        <w:t>OPTIMIZERx CORPORATION</w:t>
      </w:r>
    </w:p>
    <w:p>
      <w:pPr>
        <w:jc w:val="center"/>
        <w:ind w:right="-1139"/>
        <w:spacing w:after="0" w:line="231" w:lineRule="auto"/>
        <w:rPr>
          <w:sz w:val="20"/>
          <w:szCs w:val="20"/>
          <w:color w:val="auto"/>
        </w:rPr>
      </w:pPr>
      <w:r>
        <w:rPr>
          <w:rFonts w:ascii="Arial" w:cs="Arial" w:eastAsia="Arial" w:hAnsi="Arial"/>
          <w:sz w:val="22"/>
          <w:szCs w:val="22"/>
          <w:b w:val="1"/>
          <w:bCs w:val="1"/>
          <w:color w:val="auto"/>
        </w:rPr>
        <w:t>(A DEVELOPMENT STAGE COMPANY)</w:t>
      </w:r>
    </w:p>
    <w:p>
      <w:pPr>
        <w:ind w:left="2420" w:right="1280" w:firstLine="3"/>
        <w:spacing w:after="0" w:line="241" w:lineRule="auto"/>
        <w:rPr>
          <w:sz w:val="20"/>
          <w:szCs w:val="20"/>
          <w:color w:val="auto"/>
        </w:rPr>
      </w:pPr>
      <w:r>
        <w:rPr>
          <w:rFonts w:ascii="Arial" w:cs="Arial" w:eastAsia="Arial" w:hAnsi="Arial"/>
          <w:sz w:val="21"/>
          <w:szCs w:val="21"/>
          <w:b w:val="1"/>
          <w:bCs w:val="1"/>
          <w:color w:val="auto"/>
        </w:rPr>
        <w:t>CONSOLIDATED STATEMENTS OF CASH FLOWS (UNAUDITED) FOR THE NINE MONTHS ENDED SEPTEMBER 30, 2010 AND 2009</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FOR THE PERIOD FROM JANUARY 31, 2006 (INCEPTION) TO SEPTEMBER 30, 2010</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For the Nine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1"/>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7"/>
              </w:rPr>
              <w:t>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For the Nine</w:t>
            </w:r>
          </w:p>
        </w:tc>
        <w:tc>
          <w:tcPr>
            <w:tcW w:w="1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0"/>
              </w:rPr>
              <w:t>from January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7"/>
              </w:rPr>
              <w:t>months ended</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w w:val="91"/>
              </w:rPr>
              <w:t>2006 (Inception)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1"/>
              </w:rPr>
              <w:t>(Unaudited)</w:t>
            </w:r>
          </w:p>
        </w:tc>
        <w:tc>
          <w:tcPr>
            <w:tcW w:w="1380" w:type="dxa"/>
            <w:vAlign w:val="bottom"/>
            <w:gridSpan w:val="3"/>
          </w:tcPr>
          <w:p>
            <w:pPr>
              <w:ind w:left="100"/>
              <w:spacing w:after="0"/>
              <w:rPr>
                <w:sz w:val="20"/>
                <w:szCs w:val="20"/>
                <w:color w:val="auto"/>
              </w:rPr>
            </w:pPr>
            <w:r>
              <w:rPr>
                <w:rFonts w:ascii="Arial" w:cs="Arial" w:eastAsia="Arial" w:hAnsi="Arial"/>
                <w:sz w:val="18"/>
                <w:szCs w:val="18"/>
                <w:color w:val="auto"/>
                <w:w w:val="90"/>
              </w:rPr>
              <w:t>2009 (Unaudited)</w:t>
            </w:r>
          </w:p>
        </w:tc>
        <w:tc>
          <w:tcPr>
            <w:tcW w:w="1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2"/>
              </w:rPr>
              <w:t>2010 (Unaudited)</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Net loss for the period</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(1,640,449)</w:t>
            </w:r>
          </w:p>
        </w:tc>
        <w:tc>
          <w:tcPr>
            <w:tcW w:w="20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(2,225,075)</w:t>
            </w:r>
          </w:p>
        </w:tc>
        <w:tc>
          <w:tcPr>
            <w:tcW w:w="24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(10,990,767)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4"/>
              </w:rPr>
              <w:t>Adjustments to reconcile net income to net cash used in operating</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24,386</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Stock issued for services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921,491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Compensation expense for stock options</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Stock warrants issued for services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Changes assets and liabilities:</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(7,514)</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Loan receivable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24,188</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(160,083)</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57,413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(1,320,079)</w:t>
            </w:r>
          </w:p>
        </w:tc>
        <w:tc>
          <w:tcPr>
            <w:tcW w:w="10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(1,492,274)</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(4,491,814)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License fees</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Website development costs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(154,660)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(170,690)</w:t>
            </w:r>
          </w:p>
        </w:tc>
        <w:tc>
          <w:tcPr>
            <w:tcW w:w="10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(449,411)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Members capital contributions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Issuance of preferred stock</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Payments on loan payable</w:t>
            </w: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(647,750)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Payment for conversion of warrants to stock</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BDBD1"/>
            </w:tcBorders>
            <w:shd w:val="clear" w:color="auto" w:fill="CBDBD1"/>
          </w:tcPr>
          <w:p>
            <w:pPr>
              <w:ind w:left="32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394,000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8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1,508,750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(1,496,274)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674,375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CASH AND CASH EQUIVALENTS - BEGIN OF PERIOD</w:t>
            </w: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10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2,502,659</w:t>
            </w:r>
          </w:p>
        </w:tc>
        <w:tc>
          <w:tcPr>
            <w:tcW w:w="12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674,375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1,006,382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674,375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226</w:t>
            </w:r>
          </w:p>
        </w:tc>
        <w:tc>
          <w:tcPr>
            <w:tcW w:w="20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1,793</w:t>
            </w:r>
          </w:p>
        </w:tc>
        <w:tc>
          <w:tcPr>
            <w:tcW w:w="24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60" w:type="dxa"/>
            <w:vAlign w:val="bottom"/>
          </w:tcPr>
          <w:p>
            <w:pPr>
              <w:spacing w:after="0" w:line="198" w:lineRule="exact"/>
              <w:rPr>
                <w:sz w:val="20"/>
                <w:szCs w:val="20"/>
                <w:color w:val="auto"/>
              </w:rPr>
            </w:pPr>
            <w:r>
              <w:rPr>
                <w:rFonts w:ascii="Arial" w:cs="Arial" w:eastAsia="Arial" w:hAnsi="Arial"/>
                <w:sz w:val="18"/>
                <w:szCs w:val="18"/>
                <w:b w:val="1"/>
                <w:bCs w:val="1"/>
                <w:color w:val="auto"/>
              </w:rPr>
              <w:t>SUPPLEMENTAL NON-CASH INVESTING AND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BDBD1"/>
          </w:tcPr>
          <w:p>
            <w:pPr>
              <w:ind w:left="320"/>
              <w:spacing w:after="0" w:line="201" w:lineRule="exact"/>
              <w:rPr>
                <w:sz w:val="20"/>
                <w:szCs w:val="20"/>
                <w:color w:val="auto"/>
              </w:rPr>
            </w:pPr>
            <w:r>
              <w:rPr>
                <w:rFonts w:ascii="Arial" w:cs="Arial" w:eastAsia="Arial" w:hAnsi="Arial"/>
                <w:sz w:val="18"/>
                <w:szCs w:val="18"/>
                <w:color w:val="auto"/>
                <w:w w:val="97"/>
              </w:rPr>
              <w:t>Distributions paid though issuance of notes payable-related</w:t>
            </w:r>
          </w:p>
        </w:tc>
        <w:tc>
          <w:tcPr>
            <w:tcW w:w="10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6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party</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Conversion of warrants to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153,816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705,285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859,101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0;15,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wholly-owned subsidiary, OptimizeRx Corporation, is a development stage website publisher and marketing company that creates, promotes and fulfills custom marketing and advertising programs. The Company helps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monito r patients each month in exchange for activation of their monthly co-pay coupons.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the business have been considered as part of its development stage activities. Revenues are recognized as income when earned and expenses are recognized when they are incurred.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2009.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cash, accounts receivable, prepaid expenses, accounts payable and accrued expenses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capital assets are being depreciated over their estimated useful lives using the straight-line method of depreciation for book purposes. As of October 18, 2007, the Company acquired the majority of its capital assets at the lower market cost from the Optimizer Systems,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in launch phase with SampleMD to allow pharmaceutical and healthcare manufacturers a unique way to engage and monitor patients each month in exchange for activation of their next savings offer.</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September 30, 2010 and September 30, 2009, respectively, since their effect is anti-dilutive.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13,824</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right w:val="single" w:sz="8" w:color="CBDBD1"/>
            </w:tcBorders>
            <w:shd w:val="clear" w:color="auto" w:fill="CBDBD1"/>
          </w:tcPr>
          <w:p>
            <w:pPr>
              <w:ind w:left="2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BDBD1"/>
          </w:tcPr>
          <w:p>
            <w:pPr>
              <w:spacing w:after="0"/>
              <w:rPr>
                <w:sz w:val="18"/>
                <w:szCs w:val="18"/>
                <w:color w:val="auto"/>
              </w:rPr>
            </w:pPr>
          </w:p>
        </w:tc>
        <w:tc>
          <w:tcPr>
            <w:tcW w:w="122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18,118</w:t>
            </w:r>
          </w:p>
        </w:tc>
        <w:tc>
          <w:tcPr>
            <w:tcW w:w="12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Less: Accumulated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Borders>
              <w:right w:val="single" w:sz="8" w:color="CBDBD1"/>
            </w:tcBorders>
            <w:shd w:val="clear" w:color="auto" w:fill="CBDBD1"/>
          </w:tcPr>
          <w:p>
            <w:pPr>
              <w:ind w:left="160"/>
              <w:spacing w:after="0" w:line="201" w:lineRule="exact"/>
              <w:rPr>
                <w:sz w:val="20"/>
                <w:szCs w:val="20"/>
                <w:color w:val="auto"/>
              </w:rPr>
            </w:pPr>
            <w:r>
              <w:rPr>
                <w:rFonts w:ascii="Arial" w:cs="Arial" w:eastAsia="Arial" w:hAnsi="Arial"/>
                <w:sz w:val="18"/>
                <w:szCs w:val="18"/>
                <w:color w:val="auto"/>
                <w:w w:val="92"/>
              </w:rPr>
              <w:t>Property and equipment,</w:t>
            </w:r>
          </w:p>
        </w:tc>
        <w:tc>
          <w:tcPr>
            <w:tcW w:w="100" w:type="dxa"/>
            <w:vAlign w:val="bottom"/>
            <w:tcBorders>
              <w:top w:val="single" w:sz="8" w:color="auto"/>
            </w:tcBorders>
            <w:shd w:val="clear" w:color="auto" w:fill="CBDBD1"/>
          </w:tcPr>
          <w:p>
            <w:pPr>
              <w:spacing w:after="0"/>
              <w:rPr>
                <w:sz w:val="17"/>
                <w:szCs w:val="17"/>
                <w:color w:val="auto"/>
              </w:rPr>
            </w:pPr>
          </w:p>
        </w:tc>
        <w:tc>
          <w:tcPr>
            <w:tcW w:w="1100" w:type="dxa"/>
            <w:vAlign w:val="bottom"/>
            <w:tcBorders>
              <w:top w:val="single" w:sz="8" w:color="auto"/>
            </w:tcBorders>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0" w:type="dxa"/>
            <w:vAlign w:val="bottom"/>
            <w:tcBorders>
              <w:top w:val="single" w:sz="8" w:color="auto"/>
            </w:tcBorders>
            <w:shd w:val="clear" w:color="auto" w:fill="CBDBD1"/>
          </w:tcPr>
          <w:p>
            <w:pPr>
              <w:spacing w:after="0"/>
              <w:rPr>
                <w:sz w:val="17"/>
                <w:szCs w:val="17"/>
                <w:color w:val="auto"/>
              </w:rPr>
            </w:pPr>
          </w:p>
        </w:tc>
        <w:tc>
          <w:tcPr>
            <w:tcW w:w="1100" w:type="dxa"/>
            <w:vAlign w:val="bottom"/>
            <w:tcBorders>
              <w:top w:val="single" w:sz="8" w:color="auto"/>
            </w:tcBorders>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02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13,514</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$1,297 and $1,689 for the nine months ended September 30, 2010 and the year ended December 31, 2009,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WEBSITE DEVELOPMENT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developing their website, which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1"/>
              </w:rPr>
              <w:t>December 31,</w:t>
            </w:r>
          </w:p>
        </w:tc>
      </w:tr>
      <w:tr>
        <w:trPr>
          <w:trHeight w:val="237"/>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2100" w:type="dxa"/>
            <w:vAlign w:val="bottom"/>
            <w:gridSpan w:val="3"/>
            <w:shd w:val="clear" w:color="auto" w:fill="CBDBD1"/>
          </w:tcPr>
          <w:p>
            <w:pPr>
              <w:spacing w:after="0"/>
              <w:rPr>
                <w:sz w:val="20"/>
                <w:szCs w:val="20"/>
                <w:color w:val="auto"/>
              </w:rPr>
            </w:pPr>
            <w:r>
              <w:rPr>
                <w:rFonts w:ascii="Arial" w:cs="Arial" w:eastAsia="Arial" w:hAnsi="Arial"/>
                <w:sz w:val="18"/>
                <w:szCs w:val="18"/>
                <w:color w:val="auto"/>
                <w:w w:val="88"/>
              </w:rPr>
              <w:t>Website development costs $</w:t>
            </w:r>
          </w:p>
        </w:tc>
        <w:tc>
          <w:tcPr>
            <w:tcW w:w="120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416,292</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261,833</w:t>
            </w:r>
          </w:p>
        </w:tc>
      </w:tr>
      <w:tr>
        <w:trPr>
          <w:trHeight w:val="202"/>
        </w:trPr>
        <w:tc>
          <w:tcPr>
            <w:tcW w:w="20" w:type="dxa"/>
            <w:vAlign w:val="bottom"/>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Less: 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18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(87,342)</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(64,223)</w:t>
            </w:r>
          </w:p>
        </w:tc>
      </w:tr>
      <w:tr>
        <w:trPr>
          <w:trHeight w:val="202"/>
        </w:trPr>
        <w:tc>
          <w:tcPr>
            <w:tcW w:w="20" w:type="dxa"/>
            <w:vAlign w:val="bottom"/>
          </w:tcPr>
          <w:p>
            <w:pPr>
              <w:spacing w:after="0"/>
              <w:rPr>
                <w:sz w:val="17"/>
                <w:szCs w:val="17"/>
                <w:color w:val="auto"/>
              </w:rPr>
            </w:pPr>
          </w:p>
        </w:tc>
        <w:tc>
          <w:tcPr>
            <w:tcW w:w="1860" w:type="dxa"/>
            <w:vAlign w:val="bottom"/>
            <w:shd w:val="clear" w:color="auto" w:fill="CBDBD1"/>
          </w:tcPr>
          <w:p>
            <w:pPr>
              <w:ind w:left="160"/>
              <w:spacing w:after="0" w:line="201" w:lineRule="exact"/>
              <w:rPr>
                <w:sz w:val="20"/>
                <w:szCs w:val="20"/>
                <w:color w:val="auto"/>
              </w:rPr>
            </w:pPr>
            <w:r>
              <w:rPr>
                <w:rFonts w:ascii="Arial" w:cs="Arial" w:eastAsia="Arial" w:hAnsi="Arial"/>
                <w:sz w:val="18"/>
                <w:szCs w:val="18"/>
                <w:color w:val="auto"/>
                <w:w w:val="97"/>
              </w:rPr>
              <w:t>Website development</w:t>
            </w:r>
          </w:p>
        </w:tc>
        <w:tc>
          <w:tcPr>
            <w:tcW w:w="120" w:type="dxa"/>
            <w:vAlign w:val="bottom"/>
            <w:shd w:val="clear" w:color="auto" w:fill="CBDBD1"/>
          </w:tcPr>
          <w:p>
            <w:pPr>
              <w:spacing w:after="0"/>
              <w:rPr>
                <w:sz w:val="17"/>
                <w:szCs w:val="17"/>
                <w:color w:val="auto"/>
              </w:rPr>
            </w:pPr>
          </w:p>
        </w:tc>
        <w:tc>
          <w:tcPr>
            <w:tcW w:w="120" w:type="dxa"/>
            <w:vAlign w:val="bottom"/>
            <w:tcBorders>
              <w:top w:val="single" w:sz="8" w:color="auto"/>
            </w:tcBorders>
            <w:shd w:val="clear" w:color="auto" w:fill="CBDBD1"/>
          </w:tcPr>
          <w:p>
            <w:pPr>
              <w:spacing w:after="0"/>
              <w:rPr>
                <w:sz w:val="17"/>
                <w:szCs w:val="17"/>
                <w:color w:val="auto"/>
              </w:rPr>
            </w:pPr>
          </w:p>
        </w:tc>
        <w:tc>
          <w:tcPr>
            <w:tcW w:w="1200" w:type="dxa"/>
            <w:vAlign w:val="bottom"/>
            <w:tcBorders>
              <w:top w:val="single" w:sz="8" w:color="auto"/>
              <w:right w:val="single" w:sz="8" w:color="CBDBD1"/>
            </w:tcBorders>
            <w:shd w:val="clear" w:color="auto" w:fill="CBDBD1"/>
          </w:tcPr>
          <w:p>
            <w:pPr>
              <w:spacing w:after="0"/>
              <w:rPr>
                <w:sz w:val="17"/>
                <w:szCs w:val="17"/>
                <w:color w:val="auto"/>
              </w:rPr>
            </w:pPr>
          </w:p>
        </w:tc>
        <w:tc>
          <w:tcPr>
            <w:tcW w:w="120" w:type="dxa"/>
            <w:vAlign w:val="bottom"/>
            <w:tcBorders>
              <w:top w:val="single" w:sz="8" w:color="auto"/>
            </w:tcBorders>
            <w:shd w:val="clear" w:color="auto" w:fill="CBDBD1"/>
          </w:tcPr>
          <w:p>
            <w:pPr>
              <w:spacing w:after="0"/>
              <w:rPr>
                <w:sz w:val="17"/>
                <w:szCs w:val="17"/>
                <w:color w:val="auto"/>
              </w:rPr>
            </w:pPr>
          </w:p>
        </w:tc>
        <w:tc>
          <w:tcPr>
            <w:tcW w:w="1140" w:type="dxa"/>
            <w:vAlign w:val="bottom"/>
            <w:tcBorders>
              <w:top w:val="single" w:sz="8" w:color="auto"/>
            </w:tcBorders>
            <w:shd w:val="clear" w:color="auto" w:fill="CBDBD1"/>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860" w:type="dxa"/>
            <w:vAlign w:val="bottom"/>
            <w:shd w:val="clear" w:color="auto" w:fill="CBDBD1"/>
          </w:tcPr>
          <w:p>
            <w:pPr>
              <w:spacing w:after="0"/>
              <w:rPr>
                <w:sz w:val="20"/>
                <w:szCs w:val="20"/>
                <w:color w:val="auto"/>
              </w:rPr>
            </w:pPr>
            <w:r>
              <w:rPr>
                <w:rFonts w:ascii="Arial" w:cs="Arial" w:eastAsia="Arial" w:hAnsi="Arial"/>
                <w:sz w:val="18"/>
                <w:szCs w:val="18"/>
                <w:color w:val="auto"/>
              </w:rPr>
              <w:t>costs, net</w:t>
            </w:r>
          </w:p>
        </w:tc>
        <w:tc>
          <w:tcPr>
            <w:tcW w:w="120" w:type="dxa"/>
            <w:vAlign w:val="bottom"/>
            <w:shd w:val="clear" w:color="auto" w:fill="CBDBD1"/>
          </w:tcPr>
          <w:p>
            <w:pPr>
              <w:spacing w:after="0"/>
              <w:rPr>
                <w:sz w:val="21"/>
                <w:szCs w:val="21"/>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328,950</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197,610</w:t>
            </w: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five years, once it was put into service in December 2007. The Company is currently developing a new website and has capitalized $197,359. The site is currently in process and has not started to be amortized at September 30, 2010. Amortization expense was $23,120 for the nine months ended September 30, 2010 and $30,827 for the year ended December 31, 2009,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w w:val="94"/>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5"/>
              </w:rPr>
              <w:t>December 31,</w:t>
            </w: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BDBD1"/>
          </w:tcPr>
          <w:p>
            <w:pPr>
              <w:spacing w:after="0"/>
              <w:rPr>
                <w:sz w:val="20"/>
                <w:szCs w:val="20"/>
                <w:color w:val="auto"/>
              </w:rPr>
            </w:pPr>
            <w:r>
              <w:rPr>
                <w:rFonts w:ascii="Arial" w:cs="Arial" w:eastAsia="Arial" w:hAnsi="Arial"/>
                <w:sz w:val="18"/>
                <w:szCs w:val="18"/>
                <w:color w:val="auto"/>
              </w:rPr>
              <w:t>Accrued payroll taxes</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Accrued audit fees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980" w:type="dxa"/>
            <w:vAlign w:val="bottom"/>
            <w:tcBorders>
              <w:bottom w:val="single" w:sz="8" w:color="CBDBD1"/>
            </w:tcBorders>
            <w:shd w:val="clear" w:color="auto" w:fill="CBDBD1"/>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BDBD1"/>
            </w:tcBorders>
            <w:shd w:val="clear" w:color="auto" w:fill="CBDBD1"/>
          </w:tcPr>
          <w:p>
            <w:pPr>
              <w:spacing w:after="0"/>
              <w:rPr>
                <w:sz w:val="22"/>
                <w:szCs w:val="22"/>
                <w:color w:val="auto"/>
              </w:rPr>
            </w:pPr>
          </w:p>
        </w:tc>
        <w:tc>
          <w:tcPr>
            <w:tcW w:w="60" w:type="dxa"/>
            <w:vAlign w:val="bottom"/>
            <w:tcBorders>
              <w:bottom w:val="single" w:sz="8" w:color="CBDBD1"/>
            </w:tcBorders>
            <w:shd w:val="clear" w:color="auto" w:fill="CBDBD1"/>
          </w:tcPr>
          <w:p>
            <w:pPr>
              <w:spacing w:after="0"/>
              <w:rPr>
                <w:sz w:val="22"/>
                <w:szCs w:val="22"/>
                <w:color w:val="auto"/>
              </w:rPr>
            </w:pPr>
          </w:p>
        </w:tc>
        <w:tc>
          <w:tcPr>
            <w:tcW w:w="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September 30, 2010. There were 13,233,754 and 12,826,117 common shares issued and outstanding at September 30, 2010 and December 31, 2009, respectively.</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 months ended September 30, 2010 and 2009, 103,000 and 197,251 shares were issued as compensation for services, respectively. Included in operating expenses at September 30, 2010 and 2009 is $201,140 and $921,491 for the issuance of these shares. There were 43,039 and 365,908 shares issued as a cashless exchange of common stock warrants during the nine months ended September 30, 2010 and year ended December 31, 2009, respectively.</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 months ended September 30, 2010, the Company acquired from an officer the technical contributions and assignment of all exclusive rights to and for the Sample MD patent currently in process in exchange for 200,000 stock options valued at $404,762 and a payable of 300,000 shares of common stock to be granted at a later date. These shares were valued at the date of the assignment for $570,000 and have been recorded as a related party payable.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nine months ended September 30, 2010, stock warrants with an exercise price of $.35 per share were converted into 25,000 shares of common stock in exchange for $8,750.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 nversion price.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PREFERRED STOCK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(continued)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As of September 30, 2010, all preferred stock dividends are current.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June 30, 2011. As of September 30, 2010, no cumulative dividends have been declared or accrued.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 ranted based on the grant date fair value estimated in accordance with the provisions of SFAS 123(R).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each option granted in 2010 is estimated on the date of grant using the Black-Scholes option-pricing model with the following weighted average assumptions: dividend yield of 0%, expected volatility of 262%, risk-free interest rate of 2.54% and expected life of 60 months. The Company capitalized $404,762 on the 200,000 options issued on April 19, 2010 related to the patent rights.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granted in 2009 is estimated on the date of grant using the Black-Scholes Option Pricing Model. The Company recognized expense of $1,939,257 on the 1,050,000 options and warrants in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WARRANTS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2010, the Company exchanged 75,400 common stock warrants with an exercise price of $1 for 43,039 shares of common stock in a cashless exchange. This exchange has been reflected in the stockholders’ equity for 2010. The Company capitalized $404,762 on the 200,000 options issued on April 19, 2010 related to the patent rights.</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also issued 100,000 warrants in exchange for services during the three months ended September 30, 2010. The warrants were valued at $98,935 and recorded in consulting expenses. The fair value of the warrants granted is estimated on the date of grant using the Black-Scholes option-pricing model with the following weighted average assumptions: dividend yield of 0%, expected volatility of 241%, risk-free interest rate of 1.26% and expected life of 60 months.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2009, the Company exchanged 173,000 common stock warrants with an exercise price of $1 and 108,908 common stock warrants with an exercise price of $2, for 365,908 shares of common stock in a cashless exchange. This exchange has been reflected in the stockholders' equity for 2009.</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issued 300,000 stock warrants in connection with non-employee services. The Company also issued 750,000 warrants as part of employment agreements with various employees.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warrants issued in connection with the non-employee services at $616,079, and the employment agreements at $1,323,178, as of December 31, 2009 using the Black-Scholes option pricing model.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issued 3,000,000 stock warrants in connection with obtaining additional capital.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warrants issued at $5,096,472, as of September 30, 2010 using the Black-Scholes option pricing model.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their offices for $2,500 a month on a month-to-month rental.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2010, the Company incurred a net loss of approximately $1,640,000 and therefore has no tax liability. The Company began operations in 2007 and has previous net operating loss carry-forwards of $12,276,000 through December 31, 2009. The cumulative loss of approximately $13,916,000 will be carried forward and can be used in various amounts through the year 2030 to offset future taxable income. In the future, the cumulative net operating loss carry-forward for income tax purposes may differ from the cumulative financial statement loss due to timing differences between book and tax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pacing w:after="0" w:line="252" w:lineRule="exact"/>
        <w:rPr>
          <w:sz w:val="20"/>
          <w:szCs w:val="20"/>
          <w:color w:val="auto"/>
        </w:rPr>
      </w:pPr>
    </w:p>
    <w:p>
      <w:pPr>
        <w:ind w:left="1740"/>
        <w:spacing w:after="0"/>
        <w:rPr>
          <w:sz w:val="20"/>
          <w:szCs w:val="20"/>
          <w:color w:val="auto"/>
        </w:rPr>
      </w:pPr>
      <w:r>
        <w:rPr>
          <w:rFonts w:ascii="Arial" w:cs="Arial" w:eastAsia="Arial" w:hAnsi="Arial"/>
          <w:sz w:val="18"/>
          <w:szCs w:val="18"/>
          <w:u w:val="single" w:color="auto"/>
          <w:color w:val="auto"/>
        </w:rPr>
        <w:t>September 30, 201</w:t>
      </w:r>
      <w:r>
        <w:rPr>
          <w:rFonts w:ascii="Arial" w:cs="Arial" w:eastAsia="Arial" w:hAnsi="Arial"/>
          <w:sz w:val="18"/>
          <w:szCs w:val="18"/>
          <w:color w:val="auto"/>
        </w:rPr>
        <w:t xml:space="preserve">0 </w:t>
      </w:r>
      <w:r>
        <w:rPr>
          <w:rFonts w:ascii="Arial" w:cs="Arial" w:eastAsia="Arial" w:hAnsi="Arial"/>
          <w:sz w:val="18"/>
          <w:szCs w:val="18"/>
          <w:u w:val="single" w:color="auto"/>
          <w:color w:val="auto"/>
        </w:rPr>
        <w:t>December 31, 200</w:t>
      </w:r>
      <w:r>
        <w:rPr>
          <w:rFonts w:ascii="Arial" w:cs="Arial" w:eastAsia="Arial" w:hAnsi="Arial"/>
          <w:sz w:val="18"/>
          <w:szCs w:val="18"/>
          <w:color w:val="auto"/>
        </w:rPr>
        <w:t>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shd w:val="clear" w:color="auto" w:fill="CBDBD1"/>
          </w:tcPr>
          <w:p>
            <w:pPr>
              <w:ind w:left="100"/>
              <w:spacing w:after="0"/>
              <w:rPr>
                <w:sz w:val="20"/>
                <w:szCs w:val="20"/>
                <w:color w:val="auto"/>
              </w:rPr>
            </w:pPr>
            <w:r>
              <w:rPr>
                <w:rFonts w:ascii="Arial" w:cs="Arial" w:eastAsia="Arial" w:hAnsi="Arial"/>
                <w:sz w:val="18"/>
                <w:szCs w:val="18"/>
                <w:color w:val="auto"/>
              </w:rPr>
              <w:t>Net operating loss</w:t>
            </w:r>
          </w:p>
        </w:tc>
        <w:tc>
          <w:tcPr>
            <w:tcW w:w="300" w:type="dxa"/>
            <w:vAlign w:val="bottom"/>
            <w:shd w:val="clear" w:color="auto" w:fill="CBDBD1"/>
          </w:tcPr>
          <w:p>
            <w:pPr>
              <w:spacing w:after="0"/>
              <w:rPr>
                <w:sz w:val="17"/>
                <w:szCs w:val="17"/>
                <w:color w:val="auto"/>
              </w:rPr>
            </w:pPr>
          </w:p>
        </w:tc>
        <w:tc>
          <w:tcPr>
            <w:tcW w:w="1160" w:type="dxa"/>
            <w:vAlign w:val="bottom"/>
            <w:tcBorders>
              <w:right w:val="single" w:sz="8" w:color="CBDBD1"/>
            </w:tcBorders>
            <w:shd w:val="clear" w:color="auto" w:fill="CBDBD1"/>
          </w:tcPr>
          <w:p>
            <w:pPr>
              <w:spacing w:after="0"/>
              <w:rPr>
                <w:sz w:val="17"/>
                <w:szCs w:val="17"/>
                <w:color w:val="auto"/>
              </w:rPr>
            </w:pPr>
          </w:p>
        </w:tc>
        <w:tc>
          <w:tcPr>
            <w:tcW w:w="300" w:type="dxa"/>
            <w:vAlign w:val="bottom"/>
            <w:shd w:val="clear" w:color="auto" w:fill="CBDBD1"/>
          </w:tcPr>
          <w:p>
            <w:pPr>
              <w:spacing w:after="0"/>
              <w:rPr>
                <w:sz w:val="17"/>
                <w:szCs w:val="17"/>
                <w:color w:val="auto"/>
              </w:rPr>
            </w:pPr>
          </w:p>
        </w:tc>
        <w:tc>
          <w:tcPr>
            <w:tcW w:w="1080" w:type="dxa"/>
            <w:vAlign w:val="bottom"/>
            <w:shd w:val="clear" w:color="auto" w:fill="CBDBD1"/>
          </w:tcPr>
          <w:p>
            <w:pPr>
              <w:spacing w:after="0"/>
              <w:rPr>
                <w:sz w:val="17"/>
                <w:szCs w:val="17"/>
                <w:color w:val="auto"/>
              </w:rPr>
            </w:pPr>
          </w:p>
        </w:tc>
      </w:tr>
      <w:tr>
        <w:trPr>
          <w:trHeight w:val="230"/>
        </w:trPr>
        <w:tc>
          <w:tcPr>
            <w:tcW w:w="1740" w:type="dxa"/>
            <w:vAlign w:val="bottom"/>
            <w:shd w:val="clear" w:color="auto" w:fill="CBDBD1"/>
          </w:tcPr>
          <w:p>
            <w:pPr>
              <w:spacing w:after="0"/>
              <w:rPr>
                <w:sz w:val="20"/>
                <w:szCs w:val="20"/>
                <w:color w:val="auto"/>
              </w:rPr>
            </w:pPr>
            <w:r>
              <w:rPr>
                <w:rFonts w:ascii="Arial" w:cs="Arial" w:eastAsia="Arial" w:hAnsi="Arial"/>
                <w:sz w:val="18"/>
                <w:szCs w:val="18"/>
                <w:color w:val="auto"/>
              </w:rPr>
              <w:t>carryover</w:t>
            </w:r>
          </w:p>
        </w:tc>
        <w:tc>
          <w:tcPr>
            <w:tcW w:w="300" w:type="dxa"/>
            <w:vAlign w:val="bottom"/>
            <w:shd w:val="clear" w:color="auto" w:fill="CBDBD1"/>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4,731,440</w:t>
            </w:r>
          </w:p>
        </w:tc>
        <w:tc>
          <w:tcPr>
            <w:tcW w:w="300" w:type="dxa"/>
            <w:vAlign w:val="bottom"/>
            <w:shd w:val="clear" w:color="auto" w:fill="CBDBD1"/>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3,788,000</w:t>
            </w:r>
          </w:p>
        </w:tc>
      </w:tr>
      <w:tr>
        <w:trPr>
          <w:trHeight w:val="223"/>
        </w:trPr>
        <w:tc>
          <w:tcPr>
            <w:tcW w:w="174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(4,731,440)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(3,788,000)</w:t>
            </w:r>
          </w:p>
        </w:tc>
      </w:tr>
      <w:tr>
        <w:trPr>
          <w:trHeight w:val="202"/>
        </w:trPr>
        <w:tc>
          <w:tcPr>
            <w:tcW w:w="1740" w:type="dxa"/>
            <w:vAlign w:val="bottom"/>
            <w:shd w:val="clear" w:color="auto" w:fill="CBDBD1"/>
          </w:tcPr>
          <w:p>
            <w:pPr>
              <w:ind w:left="280"/>
              <w:spacing w:after="0" w:line="201" w:lineRule="exact"/>
              <w:rPr>
                <w:sz w:val="20"/>
                <w:szCs w:val="20"/>
                <w:color w:val="auto"/>
              </w:rPr>
            </w:pPr>
            <w:r>
              <w:rPr>
                <w:rFonts w:ascii="Arial" w:cs="Arial" w:eastAsia="Arial" w:hAnsi="Arial"/>
                <w:sz w:val="18"/>
                <w:szCs w:val="18"/>
                <w:color w:val="auto"/>
              </w:rPr>
              <w:t>Net deferred tax</w:t>
            </w:r>
          </w:p>
        </w:tc>
        <w:tc>
          <w:tcPr>
            <w:tcW w:w="300" w:type="dxa"/>
            <w:vAlign w:val="bottom"/>
            <w:tcBorders>
              <w:top w:val="single" w:sz="8" w:color="auto"/>
            </w:tcBorders>
            <w:shd w:val="clear" w:color="auto" w:fill="CBDBD1"/>
          </w:tcPr>
          <w:p>
            <w:pPr>
              <w:spacing w:after="0"/>
              <w:rPr>
                <w:sz w:val="17"/>
                <w:szCs w:val="17"/>
                <w:color w:val="auto"/>
              </w:rPr>
            </w:pPr>
          </w:p>
        </w:tc>
        <w:tc>
          <w:tcPr>
            <w:tcW w:w="1160" w:type="dxa"/>
            <w:vAlign w:val="bottom"/>
            <w:tcBorders>
              <w:top w:val="single" w:sz="8" w:color="auto"/>
              <w:right w:val="single" w:sz="8" w:color="CBDBD1"/>
            </w:tcBorders>
            <w:shd w:val="clear" w:color="auto" w:fill="CBDBD1"/>
          </w:tcPr>
          <w:p>
            <w:pPr>
              <w:spacing w:after="0"/>
              <w:rPr>
                <w:sz w:val="17"/>
                <w:szCs w:val="17"/>
                <w:color w:val="auto"/>
              </w:rPr>
            </w:pPr>
          </w:p>
        </w:tc>
        <w:tc>
          <w:tcPr>
            <w:tcW w:w="300" w:type="dxa"/>
            <w:vAlign w:val="bottom"/>
            <w:tcBorders>
              <w:top w:val="single" w:sz="8" w:color="auto"/>
            </w:tcBorders>
            <w:shd w:val="clear" w:color="auto" w:fill="CBDBD1"/>
          </w:tcPr>
          <w:p>
            <w:pPr>
              <w:spacing w:after="0"/>
              <w:rPr>
                <w:sz w:val="17"/>
                <w:szCs w:val="17"/>
                <w:color w:val="auto"/>
              </w:rPr>
            </w:pPr>
          </w:p>
        </w:tc>
        <w:tc>
          <w:tcPr>
            <w:tcW w:w="1080" w:type="dxa"/>
            <w:vAlign w:val="bottom"/>
            <w:tcBorders>
              <w:top w:val="single" w:sz="8" w:color="auto"/>
            </w:tcBorders>
            <w:shd w:val="clear" w:color="auto" w:fill="CBDBD1"/>
          </w:tcPr>
          <w:p>
            <w:pPr>
              <w:spacing w:after="0"/>
              <w:rPr>
                <w:sz w:val="17"/>
                <w:szCs w:val="17"/>
                <w:color w:val="auto"/>
              </w:rPr>
            </w:pPr>
          </w:p>
        </w:tc>
      </w:tr>
      <w:tr>
        <w:trPr>
          <w:trHeight w:val="251"/>
        </w:trPr>
        <w:tc>
          <w:tcPr>
            <w:tcW w:w="1740" w:type="dxa"/>
            <w:vAlign w:val="bottom"/>
            <w:shd w:val="clear" w:color="auto" w:fill="CBDBD1"/>
          </w:tcPr>
          <w:p>
            <w:pPr>
              <w:spacing w:after="0"/>
              <w:rPr>
                <w:sz w:val="20"/>
                <w:szCs w:val="20"/>
                <w:color w:val="auto"/>
              </w:rPr>
            </w:pPr>
            <w:r>
              <w:rPr>
                <w:rFonts w:ascii="Arial" w:cs="Arial" w:eastAsia="Arial" w:hAnsi="Arial"/>
                <w:sz w:val="18"/>
                <w:szCs w:val="18"/>
                <w:color w:val="auto"/>
              </w:rPr>
              <w:t>asset</w:t>
            </w:r>
          </w:p>
        </w:tc>
        <w:tc>
          <w:tcPr>
            <w:tcW w:w="300" w:type="dxa"/>
            <w:vAlign w:val="bottom"/>
            <w:shd w:val="clear" w:color="auto" w:fill="CBDBD1"/>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BDBD1"/>
            </w:tcBorders>
            <w:shd w:val="clear" w:color="auto" w:fill="CBDBD1"/>
          </w:tcPr>
          <w:p>
            <w:pPr>
              <w:jc w:val="right"/>
              <w:ind w:right="1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BDBD1"/>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174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ended September 30, 2010 and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Advertising</w:t>
            </w:r>
          </w:p>
        </w:tc>
        <w:tc>
          <w:tcPr>
            <w:tcW w:w="260" w:type="dxa"/>
            <w:vAlign w:val="bottom"/>
            <w:shd w:val="clear" w:color="auto" w:fill="CBDBD1"/>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32,146</w:t>
            </w:r>
          </w:p>
        </w:tc>
        <w:tc>
          <w:tcPr>
            <w:tcW w:w="360" w:type="dxa"/>
            <w:vAlign w:val="bottom"/>
            <w:tcBorders>
              <w:left w:val="single" w:sz="8" w:color="CBDBD1"/>
            </w:tcBorders>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Consulting</w:t>
            </w:r>
          </w:p>
        </w:tc>
        <w:tc>
          <w:tcPr>
            <w:tcW w:w="26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138,554</w:t>
            </w:r>
          </w:p>
        </w:tc>
        <w:tc>
          <w:tcPr>
            <w:tcW w:w="100" w:type="dxa"/>
            <w:vAlign w:val="bottom"/>
            <w:tcBorders>
              <w:left w:val="single" w:sz="8" w:color="CBDBD1"/>
            </w:tcBorders>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Salaries and wages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193,188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Rent</w:t>
            </w:r>
          </w:p>
        </w:tc>
        <w:tc>
          <w:tcPr>
            <w:tcW w:w="26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left w:val="single" w:sz="8" w:color="CBDBD1"/>
            </w:tcBorders>
            <w:shd w:val="clear" w:color="auto" w:fill="CBDBD1"/>
          </w:tcPr>
          <w:p>
            <w:pPr>
              <w:spacing w:after="0"/>
              <w:rPr>
                <w:sz w:val="18"/>
                <w:szCs w:val="18"/>
                <w:color w:val="auto"/>
              </w:rPr>
            </w:pPr>
          </w:p>
        </w:tc>
        <w:tc>
          <w:tcPr>
            <w:tcW w:w="260" w:type="dxa"/>
            <w:vAlign w:val="bottom"/>
            <w:shd w:val="clear" w:color="auto" w:fill="CBDBD1"/>
          </w:tcPr>
          <w:p>
            <w:pPr>
              <w:spacing w:after="0"/>
              <w:rPr>
                <w:sz w:val="18"/>
                <w:szCs w:val="18"/>
                <w:color w:val="auto"/>
              </w:rPr>
            </w:pP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2"/>
              </w:rPr>
              <w:t>General and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w w:val="96"/>
              </w:rPr>
              <w:t>Total Operating Expenses</w:t>
            </w:r>
          </w:p>
        </w:tc>
        <w:tc>
          <w:tcPr>
            <w:tcW w:w="260" w:type="dxa"/>
            <w:vAlign w:val="bottom"/>
            <w:shd w:val="clear" w:color="auto" w:fill="CBDBD1"/>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545,889</w:t>
            </w:r>
          </w:p>
        </w:tc>
        <w:tc>
          <w:tcPr>
            <w:tcW w:w="360" w:type="dxa"/>
            <w:vAlign w:val="bottom"/>
            <w:tcBorders>
              <w:left w:val="single" w:sz="8" w:color="CBDBD1"/>
            </w:tcBorders>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625,953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nine months ended September 30, 2010 and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1900" w:type="dxa"/>
            <w:vAlign w:val="bottom"/>
            <w:shd w:val="clear" w:color="auto" w:fill="CBDBD1"/>
          </w:tcPr>
          <w:p>
            <w:pPr>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BDBD1"/>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123,411</w:t>
            </w:r>
          </w:p>
        </w:tc>
        <w:tc>
          <w:tcPr>
            <w:tcW w:w="280" w:type="dxa"/>
            <w:vAlign w:val="bottom"/>
            <w:shd w:val="clear" w:color="auto" w:fill="CBDBD1"/>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634,523</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158,911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86,350</w:t>
            </w:r>
          </w:p>
        </w:tc>
      </w:tr>
      <w:tr>
        <w:trPr>
          <w:trHeight w:val="216"/>
        </w:trPr>
        <w:tc>
          <w:tcPr>
            <w:tcW w:w="20" w:type="dxa"/>
            <w:vAlign w:val="bottom"/>
          </w:tcPr>
          <w:p>
            <w:pPr>
              <w:spacing w:after="0"/>
              <w:rPr>
                <w:sz w:val="18"/>
                <w:szCs w:val="18"/>
                <w:color w:val="auto"/>
              </w:rPr>
            </w:pPr>
          </w:p>
        </w:tc>
        <w:tc>
          <w:tcPr>
            <w:tcW w:w="1900" w:type="dxa"/>
            <w:vAlign w:val="bottom"/>
            <w:shd w:val="clear" w:color="auto" w:fill="CBDBD1"/>
          </w:tcPr>
          <w:p>
            <w:pPr>
              <w:spacing w:after="0"/>
              <w:rPr>
                <w:sz w:val="20"/>
                <w:szCs w:val="20"/>
                <w:color w:val="auto"/>
              </w:rPr>
            </w:pPr>
            <w:r>
              <w:rPr>
                <w:rFonts w:ascii="Arial" w:cs="Arial" w:eastAsia="Arial" w:hAnsi="Arial"/>
                <w:sz w:val="18"/>
                <w:szCs w:val="18"/>
                <w:color w:val="auto"/>
              </w:rPr>
              <w:t>Consulting</w:t>
            </w:r>
          </w:p>
        </w:tc>
        <w:tc>
          <w:tcPr>
            <w:tcW w:w="280" w:type="dxa"/>
            <w:vAlign w:val="bottom"/>
            <w:shd w:val="clear" w:color="auto" w:fill="CBDBD1"/>
          </w:tcPr>
          <w:p>
            <w:pPr>
              <w:spacing w:after="0"/>
              <w:rPr>
                <w:sz w:val="18"/>
                <w:szCs w:val="18"/>
                <w:color w:val="auto"/>
              </w:rPr>
            </w:pPr>
          </w:p>
        </w:tc>
        <w:tc>
          <w:tcPr>
            <w:tcW w:w="10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670,707</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799,105</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Salaries and wages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512,473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431,956</w:t>
            </w:r>
          </w:p>
        </w:tc>
      </w:tr>
      <w:tr>
        <w:trPr>
          <w:trHeight w:val="216"/>
        </w:trPr>
        <w:tc>
          <w:tcPr>
            <w:tcW w:w="20" w:type="dxa"/>
            <w:vAlign w:val="bottom"/>
          </w:tcPr>
          <w:p>
            <w:pPr>
              <w:spacing w:after="0"/>
              <w:rPr>
                <w:sz w:val="18"/>
                <w:szCs w:val="18"/>
                <w:color w:val="auto"/>
              </w:rPr>
            </w:pPr>
          </w:p>
        </w:tc>
        <w:tc>
          <w:tcPr>
            <w:tcW w:w="1900" w:type="dxa"/>
            <w:vAlign w:val="bottom"/>
            <w:shd w:val="clear" w:color="auto" w:fill="CBDBD1"/>
          </w:tcPr>
          <w:p>
            <w:pPr>
              <w:spacing w:after="0"/>
              <w:rPr>
                <w:sz w:val="20"/>
                <w:szCs w:val="20"/>
                <w:color w:val="auto"/>
              </w:rPr>
            </w:pPr>
            <w:r>
              <w:rPr>
                <w:rFonts w:ascii="Arial" w:cs="Arial" w:eastAsia="Arial" w:hAnsi="Arial"/>
                <w:sz w:val="18"/>
                <w:szCs w:val="18"/>
                <w:color w:val="auto"/>
              </w:rPr>
              <w:t>Rent</w:t>
            </w:r>
          </w:p>
        </w:tc>
        <w:tc>
          <w:tcPr>
            <w:tcW w:w="280" w:type="dxa"/>
            <w:vAlign w:val="bottom"/>
            <w:shd w:val="clear" w:color="auto" w:fill="CBDBD1"/>
          </w:tcPr>
          <w:p>
            <w:pPr>
              <w:spacing w:after="0"/>
              <w:rPr>
                <w:sz w:val="18"/>
                <w:szCs w:val="18"/>
                <w:color w:val="auto"/>
              </w:rPr>
            </w:pPr>
          </w:p>
        </w:tc>
        <w:tc>
          <w:tcPr>
            <w:tcW w:w="10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22,500</w:t>
            </w: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192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213,065</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291,397</w:t>
            </w:r>
          </w:p>
        </w:tc>
      </w:tr>
      <w:tr>
        <w:trPr>
          <w:trHeight w:val="237"/>
        </w:trPr>
        <w:tc>
          <w:tcPr>
            <w:tcW w:w="20" w:type="dxa"/>
            <w:vAlign w:val="bottom"/>
          </w:tcPr>
          <w:p>
            <w:pPr>
              <w:spacing w:after="0"/>
              <w:rPr>
                <w:sz w:val="20"/>
                <w:szCs w:val="20"/>
                <w:color w:val="auto"/>
              </w:rPr>
            </w:pPr>
          </w:p>
        </w:tc>
        <w:tc>
          <w:tcPr>
            <w:tcW w:w="2180" w:type="dxa"/>
            <w:vAlign w:val="bottom"/>
            <w:gridSpan w:val="2"/>
            <w:shd w:val="clear" w:color="auto" w:fill="CBDBD1"/>
          </w:tcPr>
          <w:p>
            <w:pPr>
              <w:spacing w:after="0"/>
              <w:rPr>
                <w:sz w:val="20"/>
                <w:szCs w:val="20"/>
                <w:color w:val="auto"/>
              </w:rPr>
            </w:pPr>
            <w:r>
              <w:rPr>
                <w:rFonts w:ascii="Arial" w:cs="Arial" w:eastAsia="Arial" w:hAnsi="Arial"/>
                <w:sz w:val="18"/>
                <w:szCs w:val="18"/>
                <w:color w:val="auto"/>
                <w:w w:val="96"/>
              </w:rPr>
              <w:t>Total Operating Expenses $</w:t>
            </w:r>
          </w:p>
        </w:tc>
        <w:tc>
          <w:tcPr>
            <w:tcW w:w="108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8"/>
                <w:szCs w:val="18"/>
                <w:color w:val="auto"/>
              </w:rPr>
              <w:t>1,701,067</w:t>
            </w:r>
          </w:p>
        </w:tc>
        <w:tc>
          <w:tcPr>
            <w:tcW w:w="280" w:type="dxa"/>
            <w:vAlign w:val="bottom"/>
            <w:shd w:val="clear" w:color="auto" w:fill="CBDBD1"/>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2,265,831</w:t>
            </w: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GOING CONCERN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their plans for increases in revenues will provide the opportunity for the Company to continue as a going concern.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2010, the Company issued a secure promissory note in the amounts of $1,000,000 to an investor. The investor also received a seven year warrant to purchase up to 1,000,000 shares of common stock at an initial exercise price of $2.25 per share and a contingent seven year warrant to purchase up to an aggregate of 1,000,000 shares of common stock at an initial exercise price of $2.00 per share based on royalties received under a Strategic Partnering Agreement with the investor.</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has analyzed its operations subsequent to September 30, 2010 to November 15, 2010, the date these financial statements were issued, and has determined that it does not have any material subsequent events to disclose in these financial statements other than the event listed above.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 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conduct all of our operations through our wholly-owned subsidiary, OptimizeRx Michigan. We are a development-stage company that has developed a direct to consumer website, www.optimizerx.com (our “Site”), and our direct to physician solution, SampleMD, to help medical patients better afford and manage their rising healthcare costs. In addition, we provide unique advertising programs to the pharmaceutical and healthcare industries.</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 that patients have increasing influence in their healthcare decisions, particularly in their medications: what to buy, where to buy, and how to buy. However, there is very little information available to consumers regarding how to access available savings and support programs. We developed our Site to enable consumers to meet their prescribed pharmacological therapies in the most cost-effective manner possible. Our Site is a portal that identifies programs and savings that are available to consumers, based upon their needs. By creating a portal by which consumer’s access savings on their pharmaceutical needs, we have also created a Site where pharmaceutical companies can reach consumers with their advertising and other programs.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current reporting period, we have continued to invest in SampleMD, which offers a virtual “patient support center” that allows physicians and staff to easily search, select and distribute sample prescription drug vouchers, co-pay coupons and other support information to patients and pharmacies -- right from their desktop or electronic medical records (EMR) system. For example, if a physician or staff member searches for a particular drug, all available coupons or vouchers for that particular drug will appear on the clinician’s desktop. The clinician can then choose to electronically send or print out the coupon or voucher for the patient, as well as e-mail the assigned coupon or voucher directly to the patient to ensure they redeem and fill the prescription.</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16, 2010, we entered into a Master Services Agreement with Walgreens Health Initiatives in order to promote Walgreens product savings and special offers within the SampleMD platform. In turn for our promotional services, our primary compensation will be based on the number of Walgreens offer transactions are generated by physicians using the SampleMD platform to help their patients better afford the medicines and healthcare products they need.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Advocate Health Partners, a joint venture between the Advocate Health Care system and 3,600 physicians on the medical staffs of Advocate hospitals, has signed an agreement to utilize SampleMD. NuHealth System, a Long Island healthcare organization, has also signed an agreement to utilize SampleMD, and Saint Barnabas Health Care System, New Jersey’s largest integrated healthcare delivery system, has signed an agreement to utilize SampleMD as well.</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 recently, we have entered into a partnership with Physicians Interactive Holding, LLC (“PI”), a leading digital sales and marketing partner of life sciences companies, to provide healthcare professionals with SampleMD. The partnership will allow each company to distribute each other’s products and services via web, desktop and mobile applications as well as to develop a joint solution that will combine each of the industry leading technologies for a “one-stop-shop” for clinicians to access numerous pharmaceutical samples, vouchers, co-pay programs and other patient support.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partnership should increase the speed, ease and convenience with which clinicians can access pharma and life science products to better care for their patients. Doctors will be able to review a selected drug’s formulary status within the patients’ insurance plan to determine at what level the product is paid/reimbursed, as well as the latest product information and can directly contact the representative for more information through SampleMD.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launch of this new technology will expand accessibility options to healthcare providers and extends the channel reach of pharmaceutical companies eager to build loyalty, trust and credibility among physicians and office staff, as well as to overcome increasingly typical bans and restrictions on drug reps and sampling.</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partnership, PI has made a financial investment in our company, which is described in more detail below under the section titled “Liquidity and Capital Resources,” to help finance our operations going forward.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2010 and 2009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reported for three months ended September 30, 2010 was $40,676, an increase from $6,908 for the three months ended September 30, 2009.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reported for nine months ended September 30, 2010 was $58,679, an increase from $11,628 for the nine months ended September 30, 2009.</w:t>
      </w:r>
    </w:p>
    <w:p>
      <w:pPr>
        <w:spacing w:after="0" w:line="2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increased revenue for the three and nine months ended September 30, 2010 as compared with the prior year periods is a result of the initial launch of our SampleMD solution and the setup and integration fees for pharmaceutical manufacturers whom are participating within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revenues from our inception (January 31, 2006) through September 30, 2010 were $269,406.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decreased to $545,889 for the three months ended September 30, 2010 from $625,953 for the same period ended 2009. Our operating expenses for the three months ended September 30, 2010 as compared to the prior year period is set forth below:</w:t>
      </w:r>
    </w:p>
    <w:p>
      <w:pPr>
        <w:spacing w:after="0" w:line="197" w:lineRule="exact"/>
        <w:rPr>
          <w:sz w:val="20"/>
          <w:szCs w:val="20"/>
          <w:color w:val="auto"/>
        </w:rPr>
      </w:pPr>
    </w:p>
    <w:tbl>
      <w:tblPr>
        <w:tblLayout w:type="fixed"/>
        <w:tblInd w:w="2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2009</w:t>
            </w: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Administrative</w:t>
            </w:r>
          </w:p>
        </w:tc>
        <w:tc>
          <w:tcPr>
            <w:tcW w:w="280" w:type="dxa"/>
            <w:vAlign w:val="bottom"/>
            <w:shd w:val="clear" w:color="auto" w:fill="CBDBD1"/>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Advertising</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317,670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Auto expense</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10,679</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9,857</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Bank charges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Commissions</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Computer services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7,455</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Consulting</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39,619</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Consulting - warrant expense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Consulting fees-officers</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Contributions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8,159</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8,128</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Development costs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31,334</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Education and training</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6,552</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Employee benefits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13,939</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Entertainment</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Legal and accounting</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89,557</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60,724</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Licenses and fees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Miscellaneous</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Office expense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4,908</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Payroll</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179,050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122,889</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Printing</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Public and investor relations</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901</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Rent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Repairs and maintenance</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Salaries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Supplies</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Taxes-other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Telephone</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3,133</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6,996</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Travel</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16,756</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ind w:left="300"/>
              <w:spacing w:after="0"/>
              <w:rPr>
                <w:sz w:val="20"/>
                <w:szCs w:val="20"/>
                <w:color w:val="auto"/>
              </w:rPr>
            </w:pPr>
            <w:r>
              <w:rPr>
                <w:rFonts w:ascii="Arial" w:cs="Arial" w:eastAsia="Arial" w:hAnsi="Arial"/>
                <w:sz w:val="18"/>
                <w:szCs w:val="18"/>
                <w:color w:val="auto"/>
              </w:rPr>
              <w:t>Utilities</w:t>
            </w: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Website maintenance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060" w:type="dxa"/>
            <w:vAlign w:val="bottom"/>
            <w:shd w:val="clear" w:color="auto" w:fill="CBDBD1"/>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940" w:type="dxa"/>
            <w:vAlign w:val="bottom"/>
          </w:tcPr>
          <w:p>
            <w:pPr>
              <w:ind w:left="1120"/>
              <w:spacing w:after="0" w:line="201" w:lineRule="exact"/>
              <w:rPr>
                <w:sz w:val="20"/>
                <w:szCs w:val="20"/>
                <w:color w:val="auto"/>
              </w:rPr>
            </w:pPr>
            <w:r>
              <w:rPr>
                <w:rFonts w:ascii="Arial" w:cs="Arial" w:eastAsia="Arial" w:hAnsi="Arial"/>
                <w:sz w:val="18"/>
                <w:szCs w:val="18"/>
                <w:color w:val="auto"/>
              </w:rPr>
              <w:t>TOTAL OPERATING</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545,889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625,953</w:t>
            </w: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decreased to $1,701,067 for the nine months ended September 30, 2010 from $2,265,831 for the same period ended 2009. Our operating expenses for the nine months ended September 30, 2010 as compared to the prior year period is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2009</w:t>
            </w:r>
          </w:p>
        </w:tc>
        <w:tc>
          <w:tcPr>
            <w:tcW w:w="2840" w:type="dxa"/>
            <w:vAlign w:val="bottom"/>
          </w:tcPr>
          <w:p>
            <w:pPr>
              <w:spacing w:after="0"/>
              <w:rPr>
                <w:sz w:val="20"/>
                <w:szCs w:val="20"/>
                <w:color w:val="auto"/>
              </w:rPr>
            </w:pPr>
          </w:p>
        </w:tc>
      </w:tr>
      <w:tr>
        <w:trPr>
          <w:trHeight w:val="432"/>
        </w:trPr>
        <w:tc>
          <w:tcPr>
            <w:tcW w:w="5640" w:type="dxa"/>
            <w:vAlign w:val="bottom"/>
            <w:gridSpan w:val="2"/>
          </w:tcPr>
          <w:p>
            <w:pPr>
              <w:ind w:left="286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Administrative</w:t>
            </w:r>
          </w:p>
        </w:tc>
        <w:tc>
          <w:tcPr>
            <w:tcW w:w="340" w:type="dxa"/>
            <w:vAlign w:val="bottom"/>
            <w:gridSpan w:val="3"/>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BDBD1"/>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Advertising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123,411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634,523</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Auto expense</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35,718</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43,128</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Bank charges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Commissions</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(1,300)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Computer services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19,719</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Consulting</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441,091</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799,105</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Consulting - warrant expense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Consulting fees-officers</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130,680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Contributions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24,386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Development costs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73,326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Education and training</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6,585</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Employee benefits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36,976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Entertainment</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6,736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Freight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3,128</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1,555</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Insurance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Legal and accounting</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158,911</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86,350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Licenses and fees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Miscellaneous</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Office expense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6,797</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Payroll</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461,327</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352,966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Printing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2,841</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Public and investor relations</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31,824</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Rent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Repairs and maintenance</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Salaries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42,014</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Supplies</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Taxes-other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Telephone</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17,763</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Travel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30,727</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Utilities</w:t>
            </w: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924</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Website maintenance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15,726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760" w:type="dxa"/>
            <w:vAlign w:val="bottom"/>
            <w:shd w:val="clear" w:color="auto" w:fill="CBDBD1"/>
          </w:tcPr>
          <w:p>
            <w:pPr>
              <w:spacing w:after="0"/>
              <w:rPr>
                <w:sz w:val="18"/>
                <w:szCs w:val="18"/>
                <w:color w:val="auto"/>
              </w:rPr>
            </w:pPr>
          </w:p>
        </w:tc>
        <w:tc>
          <w:tcPr>
            <w:tcW w:w="4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8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2840" w:type="dxa"/>
            <w:vAlign w:val="bottom"/>
          </w:tcPr>
          <w:p>
            <w:pPr>
              <w:spacing w:after="0"/>
              <w:rPr>
                <w:sz w:val="18"/>
                <w:szCs w:val="18"/>
                <w:color w:val="auto"/>
              </w:rPr>
            </w:pPr>
          </w:p>
        </w:tc>
      </w:tr>
      <w:tr>
        <w:trPr>
          <w:trHeight w:val="202"/>
        </w:trPr>
        <w:tc>
          <w:tcPr>
            <w:tcW w:w="2880" w:type="dxa"/>
            <w:vAlign w:val="bottom"/>
          </w:tcPr>
          <w:p>
            <w:pPr>
              <w:spacing w:after="0"/>
              <w:rPr>
                <w:sz w:val="17"/>
                <w:szCs w:val="17"/>
                <w:color w:val="auto"/>
              </w:rPr>
            </w:pPr>
          </w:p>
        </w:tc>
        <w:tc>
          <w:tcPr>
            <w:tcW w:w="2760" w:type="dxa"/>
            <w:vAlign w:val="bottom"/>
          </w:tcPr>
          <w:p>
            <w:pPr>
              <w:ind w:left="1120"/>
              <w:spacing w:after="0" w:line="201" w:lineRule="exact"/>
              <w:rPr>
                <w:sz w:val="20"/>
                <w:szCs w:val="20"/>
                <w:color w:val="auto"/>
              </w:rPr>
            </w:pPr>
            <w:r>
              <w:rPr>
                <w:rFonts w:ascii="Arial" w:cs="Arial" w:eastAsia="Arial" w:hAnsi="Arial"/>
                <w:sz w:val="18"/>
                <w:szCs w:val="18"/>
                <w:color w:val="auto"/>
                <w:w w:val="95"/>
              </w:rPr>
              <w:t>TOTAL OPERATING</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30"/>
        </w:trPr>
        <w:tc>
          <w:tcPr>
            <w:tcW w:w="5640" w:type="dxa"/>
            <w:vAlign w:val="bottom"/>
            <w:gridSpan w:val="2"/>
          </w:tcPr>
          <w:p>
            <w:pPr>
              <w:ind w:left="2860"/>
              <w:spacing w:after="0"/>
              <w:rPr>
                <w:sz w:val="20"/>
                <w:szCs w:val="20"/>
                <w:color w:val="auto"/>
              </w:rPr>
            </w:pPr>
            <w:r>
              <w:rPr>
                <w:rFonts w:ascii="Arial" w:cs="Arial" w:eastAsia="Arial" w:hAnsi="Arial"/>
                <w:sz w:val="18"/>
                <w:szCs w:val="18"/>
                <w:color w:val="auto"/>
              </w:rPr>
              <w:t>EXPENSES</w:t>
            </w:r>
          </w:p>
        </w:tc>
        <w:tc>
          <w:tcPr>
            <w:tcW w:w="4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1,701,067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2,265,831</w:t>
            </w:r>
          </w:p>
        </w:tc>
        <w:tc>
          <w:tcPr>
            <w:tcW w:w="2840" w:type="dxa"/>
            <w:vAlign w:val="bottom"/>
          </w:tcPr>
          <w:p>
            <w:pPr>
              <w:spacing w:after="0"/>
              <w:rPr>
                <w:sz w:val="20"/>
                <w:szCs w:val="20"/>
                <w:color w:val="auto"/>
              </w:rPr>
            </w:pPr>
          </w:p>
        </w:tc>
      </w:tr>
      <w:tr>
        <w:trPr>
          <w:trHeight w:val="21"/>
        </w:trPr>
        <w:tc>
          <w:tcPr>
            <w:tcW w:w="2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601"/>
        </w:trPr>
        <w:tc>
          <w:tcPr>
            <w:tcW w:w="2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7</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operating expenses of $6,607,156 from January 31, 2006 (Inception) to September 30, 2010.</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July 22, 2010, our board of directors approved an executive bonus program for the remainder of fiscal year ended 2010. Upon reaching certain milestones, we are obligated to pay up to $100,000 in cash bonuses and 500,000 shares of our common stock in stock grants. This executive bonus program has increased our operating expenses for the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quarter and is expected to increase our operating expenses for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quarter.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was $635 for the three months ended September 30, 2010 a decrease from other income of $4,950 for same period ended 2009. The other income for both periods is mostly attributable to interest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was $1,939 for nine months ended September 30, 2010 a decrease from other income of $29,128 for same period ended 2009. The other income for both periods is mostly attributable to interest income.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other income is largely a result of the focus on the launch of SampleMD and the migration of the revenue model to the SampleMD channel opportunities including the integration of SampleMD into the Allscripts ePrescribe solution and integration of the SampleMD solution within the channel portfolio of offerings by Physicians Interactive.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incurred other expenses of $4,653,017 from January 31, 2006 (Inception) to September 30, 2010. Stock-based compensation accounted for $4,684,537 of our total other expenses for this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September 30, 2010 was $504,578, compared to net loss of $614,095 for the same period 2009.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loss for the nine months ended September 30, 2010 was $1,640,449, compared to net loss of $2,225,075 for the same period 2009. We incurred a net loss of $10,990,767 for the period from January 31, 2006 (Inception) to September 30, 2010.</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2010, we had total current assets of $720,638 and total assets in the amount of $2,052,864. Our total current liabilities as of September 30, 2010 were $627,414. We had working capital of $93,224 as of September 30,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activities used $1,320,079 in cash for the nine months ended September 30, 2010. Our net loss of $1,640,449 was the primary component of our negative operating cash flow, offset mainly by $201,140 in stock issued for services. Investing activities used $170,690 during the nine months ended September 30, 2010 as a result of website development costs and license fees. Financing activities provided $1,508,750 for the nine months ended September 30, 2010 largely as a result of the sale of our Series B Preferred Stock.</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reporting period, on October 5, 2010, we issued a secured promissory note (the “Note”) in the principal amount of $1,000,000 to Physicians Interactive, Inc., a Delaware corporation (the “Investor”). The Investor also received a seven year warrant to purchase up to 1,000,000 shares of our common stock at an initial exercise price of $2.25 per share and a contingent seven year warrant to purchase up to an aggregate of 1,000,000 shares of our common stock at an initial exercise price of $2.00 based on royalties we may receive under a Strategic Partnering Agreement we entered into with Physicians Interactive Holdings, LLC (together the “Warrants”).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 accrues interest at a rate of 6% per annum, compounded on April and October each year, which will be paid together with the repayment of the principal amount at the earliest of (i) September 12, 2012; (ii) prepayment of the Note at our option (iii) the occurrence of an Event of Default (as defined in the Note); or (iv) the “Maturity Date” as defined in our Certificate of Designation for our Series B Convertible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Notes and Warrants were issued pursuant to a Securities Purchase Agreement (the “Purchase Agreement”) dated as of October 5, 2010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The Investor is entitled to certain contractual benefits under the Purchase Agreement, which are summarized as follows:</w:t>
      </w:r>
    </w:p>
    <w:p>
      <w:pPr>
        <w:spacing w:after="0" w:line="238" w:lineRule="exact"/>
        <w:rPr>
          <w:sz w:val="20"/>
          <w:szCs w:val="20"/>
          <w:color w:val="auto"/>
        </w:rPr>
      </w:pPr>
    </w:p>
    <w:p>
      <w:pPr>
        <w:ind w:left="660" w:hanging="184"/>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Until June 4, 2012 or until prepayment in full of all obligations under the Note, the right, subject to certain exceptions, to participate in any subsequent sale of our common stock or any securities convertible into our common stock up to 30% of the amount of the financing;</w:t>
      </w:r>
    </w:p>
    <w:p>
      <w:pPr>
        <w:spacing w:after="0" w:line="173" w:lineRule="exact"/>
        <w:rPr>
          <w:rFonts w:ascii="Arial" w:cs="Arial" w:eastAsia="Arial" w:hAnsi="Arial"/>
          <w:sz w:val="17"/>
          <w:szCs w:val="17"/>
          <w:color w:val="auto"/>
        </w:rPr>
      </w:pPr>
    </w:p>
    <w:p>
      <w:pPr>
        <w:ind w:left="660" w:hanging="18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any time when the Note is outstanding, the right to nominate a designee of Investor for election to our Board of Directors and to provide such nominee with D&amp;O insurance coverage;</w:t>
      </w:r>
    </w:p>
    <w:p>
      <w:pPr>
        <w:spacing w:after="0" w:line="197" w:lineRule="exact"/>
        <w:rPr>
          <w:rFonts w:ascii="Arial" w:cs="Arial" w:eastAsia="Arial" w:hAnsi="Arial"/>
          <w:sz w:val="18"/>
          <w:szCs w:val="18"/>
          <w:color w:val="auto"/>
        </w:rPr>
      </w:pPr>
    </w:p>
    <w:p>
      <w:pPr>
        <w:jc w:val="both"/>
        <w:ind w:left="660" w:hanging="184"/>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At any time when the Note is outstanding, we are prohibited from: issuing dividends or repurchasing our outstanding shares, incurring certain indebtedness, issuing securities that are senior to the Note; disposing of 20% of our assets; incurring a change in control; increasing the authorized size of our Board of Directors; entering into certain transactions with affiliates; or registering certain shares; and</w:t>
      </w:r>
    </w:p>
    <w:p>
      <w:pPr>
        <w:spacing w:after="0" w:line="192" w:lineRule="exact"/>
        <w:rPr>
          <w:rFonts w:ascii="Arial" w:cs="Arial" w:eastAsia="Arial" w:hAnsi="Arial"/>
          <w:sz w:val="17"/>
          <w:szCs w:val="17"/>
          <w:color w:val="auto"/>
        </w:rPr>
      </w:pPr>
    </w:p>
    <w:p>
      <w:pPr>
        <w:jc w:val="both"/>
        <w:ind w:left="660" w:right="20" w:hanging="184"/>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(as defined in the Purchase Agreement), the Investor may at any time (unless all defaults shall theretofore have been remedied) require us to pay immediately 125% of the sum of all unpaid principal on the Note plus all accrued but unpaid interest and other amounts payable thereunder.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wholly-owned subsidiary, OptimizeRx Corporation, a Michigan corporation (the “Guarantor”), entered into a Guaranty Agreement (the “Guaranty”) with Investor to guarantee the prompt and complete payment when due of all principal, interest and other amounts under the Note. The obligations under the Guaranty are independent of our obligations under the Note and separate actions may be brought against the Guarantor.</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Vicis Capital Master Fund, a sub-trust of Vicis Capital Series Master Trust, a unit trust organized and existing under the laws of the Cayman Islands (“Vicis”) was instrumental in facilitating our $1,000,000 financing transaction with Investor by participating and by making certain concessions in our transaction documents with the Investor. As previously reported, we entered into two financing transactions with Vicis. The first was a Securities Purchase Agreement for the sale of Series A Convertible Preferred Stock dated as of September 8, 2008 and the second was a Securities Purchase Agreement dated as of June 4, 2010 for the sale of Series B Convertible Preferred Stock (the “Vicis Financings”). In connection with the Vicis Financings, we granted Vicis a security interest in our assets and further ag reed to register certain shares brought about by the financings. In order to induce the Investor to enter into an agreement with us, Vicis agreed to modify its security agreement and registration rights agreement.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Specifically, we entered into a Second Amended and Restated Security Agreement with Vicis and the Investor, which granted the parties a security interest in substantially all of our assets. The Guarantor also entered into a Second Amended and Restated Guarantor Security Agreement with Vicis and the Investor, which granted the parties a security interest in substantially all of the Guarantor’s assets.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further entered into an Amended and Restated Registration Rights Agreement with Vicis and the Investor to file a registration statement upon demand to cover the resale of the shares of our common stock issuable upon exercise of the Investor’s Warrants, the shares of our common stock issuable upon conversion of Vicis’ Series B Convertible Preferred Stock, and the shares of our common stock issuable as dividends on the Series B Convertible Preferred Stock.</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also a party to a Securityholders’ Agreement where Vicis and the Investor contracted over matters including, the maturity date for the Series A Convertible Preferred Stock and Series B Convertible Preferred Stock, preemptive rights for future financings, and voting rights for ominee directors. Finally, we were a party to an Intercreditor Agreement where Vicis and the Investor contracted over matters including, confirming the relative priority with respect to our collateral assets, providing for the orderly sharing of the proceeds of such assets, and agreeing upon the terms of the subordination of our obligations.</w:t>
      </w:r>
    </w:p>
    <w:p>
      <w:pPr>
        <w:spacing w:after="0" w:line="18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of September 30, 2010 with the current level of financing and cash on hand, we have insufficient cash to operate our business at the current level for the next twelve months and insufficient cash to achieve our business goals unless we: a) realize cash revenues on sales generated; b) meet the milestones as defined in the second round of financing with Vicis and satisfy the conditions to secure the second tranche of funding; and/or c) obtain additional financing through debt and/or equity based financing arrangements which may be insufficient to fund our capital expenditures, working capital, or other cash requirements. There can be no assurance that such additional financing will be available to us on acceptable terms, or at all.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2010, there were no off balance sheet arrangements.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September 30, 2010. This evaluation was carried out under the supervision and with the participation of our Chief Executive Officer and Chief Financial Officer, Mr. David Lester. Based upon that evaluation, our Chief Executive Officer and Chief Financial Officer concluded that, as of September 30, 2010, our disclosure controls and procedures are effective. There have been no significant changes in our internal controls over financial reporting during the quarter ended September 30, 2010 that have materially affected or are reasonably likely to materially affect such controls.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 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and we are not aware of any pending legal proceeding to which any of our officers, directors, or any beneficial holders of 5% or more of our voting securities are adverse to us or have a material interest adverse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Vicis on June 4, 2010.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Midtown Partners removed the action to the United States District Court for the Eastern District of Michigan. We are in the initial pleading stage of this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current reporting period, we issued the following securities: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from Mr. David Harrell the technical contributions and assignment of all exclusive rights to and for the Sample MD patent currently in process in exchange for 200,000 stock options valued at $404,762 and a payable of 300,000 shares of common stock to be granted at a later date. These shares were valued at the date of the assignment for $570,000 and have been recorded as a related party payable.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issued a warrant to purchase 100,000 shares of our common stock at a strike price of $2.50 per share for consulting services.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4"/>
          </w:tcPr>
          <w:p>
            <w:pPr>
              <w:spacing w:after="0"/>
              <w:rPr>
                <w:sz w:val="20"/>
                <w:szCs w:val="20"/>
                <w:color w:val="auto"/>
              </w:rPr>
            </w:pPr>
            <w:r>
              <w:rPr>
                <w:rFonts w:ascii="Arial" w:cs="Arial" w:eastAsia="Arial" w:hAnsi="Arial"/>
                <w:sz w:val="18"/>
                <w:szCs w:val="18"/>
                <w:b w:val="1"/>
                <w:bCs w:val="1"/>
                <w:color w:val="auto"/>
              </w:rPr>
              <w:t>Item 3.</w:t>
            </w:r>
          </w:p>
        </w:tc>
        <w:tc>
          <w:tcPr>
            <w:tcW w:w="10700" w:type="dxa"/>
            <w:vAlign w:val="bottom"/>
            <w:gridSpan w:val="8"/>
          </w:tcPr>
          <w:p>
            <w:pPr>
              <w:ind w:left="60"/>
              <w:spacing w:after="0"/>
              <w:rPr>
                <w:sz w:val="20"/>
                <w:szCs w:val="20"/>
                <w:color w:val="auto"/>
              </w:rPr>
            </w:pPr>
            <w:r>
              <w:rPr>
                <w:rFonts w:ascii="Arial" w:cs="Arial" w:eastAsia="Arial" w:hAnsi="Arial"/>
                <w:sz w:val="18"/>
                <w:szCs w:val="18"/>
                <w:b w:val="1"/>
                <w:bCs w:val="1"/>
                <w:color w:val="auto"/>
              </w:rPr>
              <w:t>Defaults upon Senior Securities</w:t>
            </w: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Item 4.   Removed and Reserved</w:t>
            </w: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b w:val="1"/>
                <w:bCs w:val="1"/>
                <w:color w:val="auto"/>
              </w:rPr>
              <w:t>Item 5.</w:t>
            </w:r>
          </w:p>
        </w:tc>
        <w:tc>
          <w:tcPr>
            <w:tcW w:w="10700" w:type="dxa"/>
            <w:vAlign w:val="bottom"/>
            <w:gridSpan w:val="8"/>
          </w:tcPr>
          <w:p>
            <w:pPr>
              <w:ind w:left="60"/>
              <w:spacing w:after="0"/>
              <w:rPr>
                <w:sz w:val="20"/>
                <w:szCs w:val="20"/>
                <w:color w:val="auto"/>
              </w:rPr>
            </w:pPr>
            <w:r>
              <w:rPr>
                <w:rFonts w:ascii="Arial" w:cs="Arial" w:eastAsia="Arial" w:hAnsi="Arial"/>
                <w:sz w:val="18"/>
                <w:szCs w:val="18"/>
                <w:b w:val="1"/>
                <w:bCs w:val="1"/>
                <w:color w:val="auto"/>
              </w:rPr>
              <w:t>Other Information</w:t>
            </w: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2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19"/>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1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18 U.S.C. Section 1350, as adopted pursuant to Section 302 of the Sarbanes-Oxley Act of</w:t>
            </w:r>
          </w:p>
        </w:tc>
      </w:tr>
      <w:tr>
        <w:trPr>
          <w:trHeight w:val="196"/>
        </w:trPr>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8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 of</w:t>
            </w:r>
          </w:p>
        </w:tc>
      </w:tr>
      <w:tr>
        <w:trPr>
          <w:trHeight w:val="196"/>
        </w:trPr>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8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 Section 1350, as adopted pursuant to Section 906 of</w:t>
            </w:r>
          </w:p>
        </w:tc>
      </w:tr>
      <w:tr>
        <w:trPr>
          <w:trHeight w:val="196"/>
        </w:trPr>
        <w:tc>
          <w:tcPr>
            <w:tcW w:w="3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the Sarbanes-Oxley Act of 2002</w:t>
            </w:r>
          </w:p>
        </w:tc>
        <w:tc>
          <w:tcPr>
            <w:tcW w:w="80" w:type="dxa"/>
            <w:vAlign w:val="bottom"/>
          </w:tcPr>
          <w:p>
            <w:pPr>
              <w:spacing w:after="0"/>
              <w:rPr>
                <w:sz w:val="17"/>
                <w:szCs w:val="17"/>
                <w:color w:val="auto"/>
              </w:rPr>
            </w:pPr>
          </w:p>
        </w:tc>
      </w:tr>
      <w:tr>
        <w:trPr>
          <w:trHeight w:val="628"/>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top w:val="single" w:sz="8" w:color="0000EE"/>
            </w:tcBorders>
            <w:gridSpan w:val="3"/>
          </w:tcPr>
          <w:p>
            <w:pPr>
              <w:spacing w:after="0"/>
              <w:rPr>
                <w:sz w:val="24"/>
                <w:szCs w:val="24"/>
                <w:color w:val="auto"/>
              </w:rPr>
            </w:pPr>
          </w:p>
        </w:tc>
        <w:tc>
          <w:tcPr>
            <w:tcW w:w="7860" w:type="dxa"/>
            <w:vAlign w:val="bottom"/>
          </w:tcPr>
          <w:p>
            <w:pPr>
              <w:jc w:val="right"/>
              <w:ind w:right="533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8"/>
        </w:trPr>
        <w:tc>
          <w:tcPr>
            <w:tcW w:w="3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8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November 16, 2010</w:t>
            </w:r>
          </w:p>
        </w:tc>
      </w:tr>
      <w:tr>
        <w:trPr>
          <w:trHeight w:val="392"/>
        </w:trPr>
        <w:tc>
          <w:tcPr>
            <w:tcW w:w="70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 David Lester</w:t>
            </w:r>
          </w:p>
        </w:tc>
      </w:tr>
      <w:tr>
        <w:trPr>
          <w:trHeight w:val="218"/>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35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Chief Executive Officer, Chief Financial Officer, and Director</w:t>
            </w:r>
          </w:p>
        </w:tc>
      </w:tr>
    </w:tbl>
    <w:p>
      <w:pPr>
        <w:sectPr>
          <w:pgSz w:w="11900" w:h="16838" w:orient="portrait"/>
          <w:cols w:equalWidth="0" w:num="1">
            <w:col w:w="11400"/>
          </w:cols>
          <w:pgMar w:left="240" w:top="121"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52" w:lineRule="exact"/>
        <w:rPr>
          <w:sz w:val="20"/>
          <w:szCs w:val="20"/>
          <w:color w:val="auto"/>
        </w:rPr>
      </w:pPr>
    </w:p>
    <w:p>
      <w:pPr>
        <w:ind w:left="500" w:hanging="23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2010 of OPTIMIZERx Corp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8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H. David Lester, certify that;</w:t>
      </w:r>
    </w:p>
    <w:p>
      <w:pPr>
        <w:spacing w:after="0" w:line="252" w:lineRule="exact"/>
        <w:rPr>
          <w:sz w:val="20"/>
          <w:szCs w:val="20"/>
          <w:color w:val="auto"/>
        </w:rPr>
      </w:pPr>
    </w:p>
    <w:p>
      <w:pPr>
        <w:ind w:left="500" w:hanging="23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2010 of OPTIMIZERx Corp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8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September 30, 2010 filed with the Securities and Exchange Commission (the “Report”), I, H. David Lester,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ind w:left="6860"/>
              <w:spacing w:after="0"/>
              <w:rPr>
                <w:sz w:val="20"/>
                <w:szCs w:val="20"/>
                <w:color w:val="auto"/>
              </w:rPr>
            </w:pPr>
            <w:r>
              <w:rPr>
                <w:rFonts w:ascii="Arial" w:cs="Arial" w:eastAsia="Arial" w:hAnsi="Arial"/>
                <w:sz w:val="18"/>
                <w:szCs w:val="18"/>
                <w:color w:val="auto"/>
              </w:rPr>
              <w:t>By:</w:t>
            </w:r>
          </w:p>
        </w:tc>
        <w:tc>
          <w:tcPr>
            <w:tcW w:w="2880" w:type="dxa"/>
            <w:vAlign w:val="bottom"/>
            <w:gridSpan w:val="2"/>
          </w:tcPr>
          <w:p>
            <w:pPr>
              <w:spacing w:after="0"/>
              <w:rPr>
                <w:sz w:val="20"/>
                <w:szCs w:val="20"/>
                <w:color w:val="auto"/>
              </w:rPr>
            </w:pPr>
            <w:r>
              <w:rPr>
                <w:rFonts w:ascii="Arial" w:cs="Arial" w:eastAsia="Arial" w:hAnsi="Arial"/>
                <w:sz w:val="18"/>
                <w:szCs w:val="18"/>
                <w:color w:val="auto"/>
              </w:rPr>
              <w:t>/s/ H. David Lester</w:t>
            </w:r>
          </w:p>
        </w:tc>
      </w:tr>
      <w:tr>
        <w:trPr>
          <w:trHeight w:val="453"/>
        </w:trPr>
        <w:tc>
          <w:tcPr>
            <w:tcW w:w="8520" w:type="dxa"/>
            <w:vAlign w:val="bottom"/>
          </w:tcPr>
          <w:p>
            <w:pPr>
              <w:ind w:left="686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David Lester</w:t>
            </w:r>
          </w:p>
        </w:tc>
        <w:tc>
          <w:tcPr>
            <w:tcW w:w="1520" w:type="dxa"/>
            <w:vAlign w:val="bottom"/>
          </w:tcPr>
          <w:p>
            <w:pPr>
              <w:spacing w:after="0"/>
              <w:rPr>
                <w:sz w:val="24"/>
                <w:szCs w:val="24"/>
                <w:color w:val="auto"/>
              </w:rPr>
            </w:pPr>
          </w:p>
        </w:tc>
      </w:tr>
      <w:tr>
        <w:trPr>
          <w:trHeight w:val="418"/>
        </w:trPr>
        <w:tc>
          <w:tcPr>
            <w:tcW w:w="8520" w:type="dxa"/>
            <w:vAlign w:val="bottom"/>
          </w:tcPr>
          <w:p>
            <w:pPr>
              <w:ind w:left="6860"/>
              <w:spacing w:after="0"/>
              <w:rPr>
                <w:sz w:val="20"/>
                <w:szCs w:val="20"/>
                <w:color w:val="auto"/>
              </w:rPr>
            </w:pPr>
            <w:r>
              <w:rPr>
                <w:rFonts w:ascii="Arial" w:cs="Arial" w:eastAsia="Arial" w:hAnsi="Arial"/>
                <w:sz w:val="18"/>
                <w:szCs w:val="18"/>
                <w:color w:val="auto"/>
              </w:rPr>
              <w:t>Title:</w:t>
            </w:r>
          </w:p>
        </w:tc>
        <w:tc>
          <w:tcPr>
            <w:tcW w:w="2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85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 and Director</w:t>
            </w:r>
          </w:p>
        </w:tc>
      </w:tr>
      <w:tr>
        <w:trPr>
          <w:trHeight w:val="432"/>
        </w:trPr>
        <w:tc>
          <w:tcPr>
            <w:tcW w:w="8520" w:type="dxa"/>
            <w:vAlign w:val="bottom"/>
          </w:tcPr>
          <w:p>
            <w:pPr>
              <w:ind w:left="6860"/>
              <w:spacing w:after="0"/>
              <w:rPr>
                <w:sz w:val="20"/>
                <w:szCs w:val="20"/>
                <w:color w:val="auto"/>
              </w:rPr>
            </w:pPr>
            <w:r>
              <w:rPr>
                <w:rFonts w:ascii="Arial" w:cs="Arial" w:eastAsia="Arial" w:hAnsi="Arial"/>
                <w:sz w:val="18"/>
                <w:szCs w:val="18"/>
                <w:color w:val="auto"/>
              </w:rPr>
              <w:t>Date:</w:t>
            </w:r>
          </w:p>
        </w:tc>
        <w:tc>
          <w:tcPr>
            <w:tcW w:w="2880" w:type="dxa"/>
            <w:vAlign w:val="bottom"/>
            <w:gridSpan w:val="2"/>
          </w:tcPr>
          <w:p>
            <w:pPr>
              <w:spacing w:after="0"/>
              <w:rPr>
                <w:sz w:val="20"/>
                <w:szCs w:val="20"/>
                <w:color w:val="auto"/>
              </w:rPr>
            </w:pPr>
            <w:r>
              <w:rPr>
                <w:rFonts w:ascii="Arial" w:cs="Arial" w:eastAsia="Arial" w:hAnsi="Arial"/>
                <w:sz w:val="18"/>
                <w:szCs w:val="18"/>
                <w:color w:val="auto"/>
              </w:rPr>
              <w:t>November 16, 2010</w:t>
            </w:r>
          </w:p>
        </w:tc>
      </w:tr>
      <w:tr>
        <w:trPr>
          <w:trHeight w:val="459"/>
        </w:trPr>
        <w:tc>
          <w:tcPr>
            <w:tcW w:w="8520" w:type="dxa"/>
            <w:vAlign w:val="bottom"/>
          </w:tcPr>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
    <w:nsid w:val="238E1F2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2019-12-11T06:11:42Z</dcterms:created>
  <dcterms:modified xsi:type="dcterms:W3CDTF">2019-12-11T06:11:42Z</dcterms:modified>
</cp:coreProperties>
</file>