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Spangler Patrick D</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4,637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4,637</w:t>
            </w:r>
          </w:p>
        </w:tc>
        <w:tc>
          <w:tcPr>
            <w:tcW w:w="3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4,637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earlier of the first anniversary of the date of grant or the date of the Company's next annual meeting of shareholders.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Patrick Spangler</w:t>
            </w:r>
          </w:p>
        </w:tc>
        <w:tc>
          <w:tcPr>
            <w:tcW w:w="8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06/09/2022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2022-06-13T15:46:53Z</dcterms:created>
  <dcterms:modified xsi:type="dcterms:W3CDTF">2022-06-13T15:46:53Z</dcterms:modified>
</cp:coreProperties>
</file>