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191770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8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10-K</w:t>
      </w:r>
    </w:p>
    <w:p>
      <w:pPr>
        <w:spacing w:after="0" w:line="108" w:lineRule="exact"/>
        <w:rPr>
          <w:sz w:val="24"/>
          <w:szCs w:val="24"/>
          <w:color w:val="auto"/>
        </w:rPr>
      </w:pPr>
    </w:p>
    <w:p>
      <w:pPr>
        <w:jc w:val="center"/>
        <w:ind w:left="4080" w:right="1700" w:hanging="2369"/>
        <w:spacing w:after="0" w:line="341" w:lineRule="auto"/>
        <w:tabs>
          <w:tab w:leader="none" w:pos="1958"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 xml:space="preserve">ANNUAL REPORT UNDER SECTION 13 OR 15(d) OF THE SECURITIES EXCHANGE ACT OF 1934 For the fiscal year ended </w:t>
      </w:r>
      <w:r>
        <w:rPr>
          <w:rFonts w:ascii="Arial" w:cs="Arial" w:eastAsia="Arial" w:hAnsi="Arial"/>
          <w:sz w:val="18"/>
          <w:szCs w:val="18"/>
          <w:b w:val="1"/>
          <w:bCs w:val="1"/>
          <w:color w:val="auto"/>
        </w:rPr>
        <w:t>December 31, 2017</w:t>
      </w:r>
    </w:p>
    <w:p>
      <w:pPr>
        <w:spacing w:after="0" w:line="33" w:lineRule="exact"/>
        <w:rPr>
          <w:rFonts w:ascii="MS PGothic" w:cs="MS PGothic" w:eastAsia="MS PGothic" w:hAnsi="MS PGothic"/>
          <w:sz w:val="18"/>
          <w:szCs w:val="18"/>
          <w:color w:val="auto"/>
        </w:rPr>
      </w:pPr>
    </w:p>
    <w:p>
      <w:pPr>
        <w:ind w:left="3740" w:right="1540" w:hanging="2193"/>
        <w:spacing w:after="0" w:line="357" w:lineRule="auto"/>
        <w:tabs>
          <w:tab w:leader="none" w:pos="1795"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UNDER SECTION 13 OR 15(d) OF THE SECURITIES EXCHANGE ACT OF 1934 For the transition period from _________ to ________</w:t>
      </w:r>
    </w:p>
    <w:p>
      <w:pPr>
        <w:spacing w:after="0" w:line="1" w:lineRule="exact"/>
        <w:rPr>
          <w:rFonts w:ascii="MS PGothic" w:cs="MS PGothic" w:eastAsia="MS PGothic" w:hAnsi="MS PGothic"/>
          <w:sz w:val="18"/>
          <w:szCs w:val="18"/>
          <w:color w:val="auto"/>
        </w:rPr>
      </w:pPr>
    </w:p>
    <w:p>
      <w:pPr>
        <w:ind w:left="4380"/>
        <w:spacing w:after="0"/>
        <w:rPr>
          <w:rFonts w:ascii="MS PGothic" w:cs="MS PGothic" w:eastAsia="MS PGothic" w:hAnsi="MS PGothic"/>
          <w:sz w:val="18"/>
          <w:szCs w:val="18"/>
          <w:color w:val="auto"/>
        </w:rPr>
      </w:pPr>
      <w:r>
        <w:rPr>
          <w:rFonts w:ascii="Arial" w:cs="Arial" w:eastAsia="Arial" w:hAnsi="Arial"/>
          <w:sz w:val="18"/>
          <w:szCs w:val="18"/>
          <w:color w:val="auto"/>
        </w:rPr>
        <w:t xml:space="preserve">Commission file number: </w:t>
      </w:r>
      <w:r>
        <w:rPr>
          <w:rFonts w:ascii="Arial" w:cs="Arial" w:eastAsia="Arial" w:hAnsi="Arial"/>
          <w:sz w:val="18"/>
          <w:szCs w:val="18"/>
          <w:b w:val="1"/>
          <w:bCs w:val="1"/>
          <w:color w:val="auto"/>
        </w:rPr>
        <w:t>000-53605</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255"/>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Nevada</w:t>
            </w:r>
          </w:p>
        </w:tc>
        <w:tc>
          <w:tcPr>
            <w:tcW w:w="5600" w:type="dxa"/>
            <w:vAlign w:val="bottom"/>
            <w:gridSpan w:val="3"/>
          </w:tcPr>
          <w:p>
            <w:pPr>
              <w:jc w:val="right"/>
              <w:ind w:right="2270"/>
              <w:spacing w:after="0"/>
              <w:rPr>
                <w:sz w:val="20"/>
                <w:szCs w:val="20"/>
                <w:color w:val="auto"/>
              </w:rPr>
            </w:pPr>
            <w:r>
              <w:rPr>
                <w:rFonts w:ascii="Arial" w:cs="Arial" w:eastAsia="Arial" w:hAnsi="Arial"/>
                <w:sz w:val="18"/>
                <w:szCs w:val="18"/>
                <w:b w:val="1"/>
                <w:bCs w:val="1"/>
                <w:color w:val="auto"/>
              </w:rPr>
              <w:t>26-1265381</w:t>
            </w:r>
          </w:p>
        </w:tc>
      </w:tr>
      <w:tr>
        <w:trPr>
          <w:trHeight w:val="202"/>
        </w:trPr>
        <w:tc>
          <w:tcPr>
            <w:tcW w:w="5620" w:type="dxa"/>
            <w:vAlign w:val="bottom"/>
            <w:tcBorders>
              <w:top w:val="single" w:sz="8" w:color="auto"/>
            </w:tcBorders>
          </w:tcPr>
          <w:p>
            <w:pPr>
              <w:ind w:left="1740"/>
              <w:spacing w:after="0" w:line="201" w:lineRule="exact"/>
              <w:rPr>
                <w:sz w:val="20"/>
                <w:szCs w:val="20"/>
                <w:color w:val="auto"/>
              </w:rPr>
            </w:pPr>
            <w:r>
              <w:rPr>
                <w:rFonts w:ascii="Arial" w:cs="Arial" w:eastAsia="Arial" w:hAnsi="Arial"/>
                <w:sz w:val="18"/>
                <w:szCs w:val="18"/>
                <w:color w:val="auto"/>
              </w:rPr>
              <w:t>(State or other jurisdiction of</w:t>
            </w:r>
          </w:p>
        </w:tc>
        <w:tc>
          <w:tcPr>
            <w:tcW w:w="200" w:type="dxa"/>
            <w:vAlign w:val="bottom"/>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4040" w:type="dxa"/>
            <w:vAlign w:val="bottom"/>
            <w:tcBorders>
              <w:top w:val="single" w:sz="8" w:color="auto"/>
            </w:tcBorders>
          </w:tcPr>
          <w:p>
            <w:pPr>
              <w:jc w:val="center"/>
              <w:ind w:right="1470"/>
              <w:spacing w:after="0" w:line="201" w:lineRule="exact"/>
              <w:rPr>
                <w:sz w:val="20"/>
                <w:szCs w:val="20"/>
                <w:color w:val="auto"/>
              </w:rPr>
            </w:pPr>
            <w:r>
              <w:rPr>
                <w:rFonts w:ascii="Arial" w:cs="Arial" w:eastAsia="Arial" w:hAnsi="Arial"/>
                <w:sz w:val="18"/>
                <w:szCs w:val="18"/>
                <w:color w:val="auto"/>
                <w:w w:val="93"/>
              </w:rPr>
              <w:t>(I.R.S. Employer</w:t>
            </w:r>
          </w:p>
        </w:tc>
      </w:tr>
      <w:tr>
        <w:trPr>
          <w:trHeight w:val="230"/>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incorporation or organization)</w:t>
            </w: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040" w:type="dxa"/>
            <w:vAlign w:val="bottom"/>
          </w:tcPr>
          <w:p>
            <w:pPr>
              <w:jc w:val="center"/>
              <w:ind w:right="1450"/>
              <w:spacing w:after="0"/>
              <w:rPr>
                <w:sz w:val="20"/>
                <w:szCs w:val="20"/>
                <w:color w:val="auto"/>
              </w:rPr>
            </w:pPr>
            <w:r>
              <w:rPr>
                <w:rFonts w:ascii="Arial" w:cs="Arial" w:eastAsia="Arial" w:hAnsi="Arial"/>
                <w:sz w:val="18"/>
                <w:szCs w:val="18"/>
                <w:color w:val="auto"/>
                <w:w w:val="95"/>
              </w:rPr>
              <w:t>Identification No.)</w:t>
            </w:r>
          </w:p>
        </w:tc>
      </w:tr>
      <w:tr>
        <w:trPr>
          <w:trHeight w:val="292"/>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400 Water Street, Ste. 200</w:t>
            </w:r>
          </w:p>
        </w:tc>
        <w:tc>
          <w:tcPr>
            <w:tcW w:w="5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40" w:type="dxa"/>
            <w:vAlign w:val="bottom"/>
          </w:tcPr>
          <w:p>
            <w:pPr>
              <w:spacing w:after="0"/>
              <w:rPr>
                <w:sz w:val="24"/>
                <w:szCs w:val="24"/>
                <w:color w:val="auto"/>
              </w:rPr>
            </w:pPr>
          </w:p>
        </w:tc>
      </w:tr>
      <w:tr>
        <w:trPr>
          <w:trHeight w:val="241"/>
        </w:trPr>
        <w:tc>
          <w:tcPr>
            <w:tcW w:w="58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Rochester, MI</w:t>
            </w:r>
          </w:p>
        </w:tc>
        <w:tc>
          <w:tcPr>
            <w:tcW w:w="5600" w:type="dxa"/>
            <w:vAlign w:val="bottom"/>
            <w:gridSpan w:val="3"/>
          </w:tcPr>
          <w:p>
            <w:pPr>
              <w:jc w:val="right"/>
              <w:ind w:right="2490"/>
              <w:spacing w:after="0"/>
              <w:rPr>
                <w:sz w:val="20"/>
                <w:szCs w:val="20"/>
                <w:color w:val="auto"/>
              </w:rPr>
            </w:pPr>
            <w:r>
              <w:rPr>
                <w:rFonts w:ascii="Arial" w:cs="Arial" w:eastAsia="Arial" w:hAnsi="Arial"/>
                <w:sz w:val="18"/>
                <w:szCs w:val="18"/>
                <w:b w:val="1"/>
                <w:bCs w:val="1"/>
                <w:color w:val="auto"/>
              </w:rPr>
              <w:t>48307</w:t>
            </w:r>
          </w:p>
        </w:tc>
      </w:tr>
      <w:tr>
        <w:trPr>
          <w:trHeight w:val="230"/>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40" w:type="dxa"/>
            <w:vAlign w:val="bottom"/>
            <w:tcBorders>
              <w:top w:val="single" w:sz="8" w:color="auto"/>
            </w:tcBorders>
          </w:tcPr>
          <w:p>
            <w:pPr>
              <w:jc w:val="center"/>
              <w:ind w:right="1470"/>
              <w:spacing w:after="0"/>
              <w:rPr>
                <w:sz w:val="20"/>
                <w:szCs w:val="20"/>
                <w:color w:val="auto"/>
              </w:rPr>
            </w:pPr>
            <w:r>
              <w:rPr>
                <w:rFonts w:ascii="Arial" w:cs="Arial" w:eastAsia="Arial" w:hAnsi="Arial"/>
                <w:sz w:val="18"/>
                <w:szCs w:val="18"/>
                <w:color w:val="auto"/>
                <w:w w:val="94"/>
              </w:rPr>
              <w:t>(Zip Code)</w:t>
            </w:r>
          </w:p>
        </w:tc>
      </w:tr>
      <w:tr>
        <w:trPr>
          <w:trHeight w:val="256"/>
        </w:trPr>
        <w:tc>
          <w:tcPr>
            <w:tcW w:w="11420" w:type="dxa"/>
            <w:vAlign w:val="bottom"/>
            <w:gridSpan w:val="5"/>
          </w:tcPr>
          <w:p>
            <w:pPr>
              <w:jc w:val="center"/>
              <w:spacing w:after="0"/>
              <w:rPr>
                <w:sz w:val="20"/>
                <w:szCs w:val="20"/>
                <w:color w:val="auto"/>
              </w:rPr>
            </w:pPr>
            <w:r>
              <w:rPr>
                <w:rFonts w:ascii="Arial" w:cs="Arial" w:eastAsia="Arial" w:hAnsi="Arial"/>
                <w:sz w:val="18"/>
                <w:szCs w:val="18"/>
                <w:color w:val="auto"/>
                <w:w w:val="90"/>
              </w:rPr>
              <w:t xml:space="preserve">Registrant’s telephone number: </w:t>
            </w:r>
            <w:r>
              <w:rPr>
                <w:rFonts w:ascii="Arial" w:cs="Arial" w:eastAsia="Arial" w:hAnsi="Arial"/>
                <w:sz w:val="18"/>
                <w:szCs w:val="18"/>
                <w:b w:val="1"/>
                <w:bCs w:val="1"/>
                <w:color w:val="auto"/>
                <w:w w:val="90"/>
              </w:rPr>
              <w:t>248-651-6568</w:t>
            </w:r>
          </w:p>
        </w:tc>
      </w:tr>
      <w:tr>
        <w:trPr>
          <w:trHeight w:val="20"/>
        </w:trPr>
        <w:tc>
          <w:tcPr>
            <w:tcW w:w="6360" w:type="dxa"/>
            <w:vAlign w:val="bottom"/>
            <w:gridSpan w:val="3"/>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r>
      <w:tr>
        <w:trPr>
          <w:trHeight w:val="331"/>
        </w:trPr>
        <w:tc>
          <w:tcPr>
            <w:tcW w:w="11420" w:type="dxa"/>
            <w:vAlign w:val="bottom"/>
            <w:gridSpan w:val="5"/>
          </w:tcPr>
          <w:p>
            <w:pPr>
              <w:jc w:val="center"/>
              <w:spacing w:after="0"/>
              <w:rPr>
                <w:sz w:val="20"/>
                <w:szCs w:val="20"/>
                <w:color w:val="auto"/>
              </w:rPr>
            </w:pPr>
            <w:r>
              <w:rPr>
                <w:rFonts w:ascii="Arial" w:cs="Arial" w:eastAsia="Arial" w:hAnsi="Arial"/>
                <w:sz w:val="18"/>
                <w:szCs w:val="18"/>
                <w:color w:val="auto"/>
                <w:w w:val="90"/>
              </w:rPr>
              <w:t>Securities registered under Section 12(b) of the Exchange Act:</w:t>
            </w:r>
          </w:p>
        </w:tc>
      </w:tr>
      <w:tr>
        <w:trPr>
          <w:trHeight w:val="331"/>
        </w:trPr>
        <w:tc>
          <w:tcPr>
            <w:tcW w:w="582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Title of each class</w:t>
            </w:r>
          </w:p>
        </w:tc>
        <w:tc>
          <w:tcPr>
            <w:tcW w:w="540" w:type="dxa"/>
            <w:vAlign w:val="bottom"/>
          </w:tcPr>
          <w:p>
            <w:pPr>
              <w:spacing w:after="0"/>
              <w:rPr>
                <w:sz w:val="24"/>
                <w:szCs w:val="24"/>
                <w:color w:val="auto"/>
              </w:rPr>
            </w:pPr>
          </w:p>
        </w:tc>
        <w:tc>
          <w:tcPr>
            <w:tcW w:w="5060" w:type="dxa"/>
            <w:vAlign w:val="bottom"/>
            <w:gridSpan w:val="2"/>
          </w:tcPr>
          <w:p>
            <w:pPr>
              <w:jc w:val="center"/>
              <w:ind w:right="430"/>
              <w:spacing w:after="0"/>
              <w:rPr>
                <w:sz w:val="20"/>
                <w:szCs w:val="20"/>
                <w:color w:val="auto"/>
              </w:rPr>
            </w:pPr>
            <w:r>
              <w:rPr>
                <w:rFonts w:ascii="Arial" w:cs="Arial" w:eastAsia="Arial" w:hAnsi="Arial"/>
                <w:sz w:val="18"/>
                <w:szCs w:val="18"/>
                <w:color w:val="auto"/>
                <w:w w:val="89"/>
              </w:rPr>
              <w:t>Name of each exchange on which registered</w:t>
            </w:r>
          </w:p>
        </w:tc>
      </w:tr>
      <w:tr>
        <w:trPr>
          <w:trHeight w:val="234"/>
        </w:trPr>
        <w:tc>
          <w:tcPr>
            <w:tcW w:w="56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none</w:t>
            </w:r>
          </w:p>
        </w:tc>
        <w:tc>
          <w:tcPr>
            <w:tcW w:w="200" w:type="dxa"/>
            <w:vAlign w:val="bottom"/>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4040" w:type="dxa"/>
            <w:vAlign w:val="bottom"/>
            <w:tcBorders>
              <w:top w:val="single" w:sz="8" w:color="auto"/>
            </w:tcBorders>
          </w:tcPr>
          <w:p>
            <w:pPr>
              <w:jc w:val="center"/>
              <w:ind w:right="1470"/>
              <w:spacing w:after="0"/>
              <w:rPr>
                <w:sz w:val="20"/>
                <w:szCs w:val="20"/>
                <w:color w:val="auto"/>
              </w:rPr>
            </w:pPr>
            <w:r>
              <w:rPr>
                <w:rFonts w:ascii="Arial" w:cs="Arial" w:eastAsia="Arial" w:hAnsi="Arial"/>
                <w:sz w:val="18"/>
                <w:szCs w:val="18"/>
                <w:b w:val="1"/>
                <w:bCs w:val="1"/>
                <w:color w:val="auto"/>
                <w:w w:val="89"/>
              </w:rPr>
              <w:t>not applicable</w:t>
            </w:r>
          </w:p>
        </w:tc>
      </w:tr>
    </w:tbl>
    <w:p>
      <w:pPr>
        <w:spacing w:after="0" w:line="6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under Section 12(g) of the Exchange Act:</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Title of each class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Common Stock, par value of $0.001</w:t>
      </w:r>
    </w:p>
    <w:p>
      <w:pPr>
        <w:spacing w:after="0" w:line="17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25"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not required to file reports pursuant to Section 13 or Section 15(d) of the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58"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(§229.405 of this chapter) during the preceding 12 months (or for such shorter period that the registrant was required to submit and post such files).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if disclosure of delinquent filers pursuant to Item 405 of Regulation S-K (§232.405 of this chapter) is not contained herein, and will not be contained, to the best of registrant’s knowledge, in definitive proxy or information statements incorporated by reference in Part III of this Form 10-K or any amendment to this Form 10-K.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184"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emerging growth company.</w:t>
      </w:r>
    </w:p>
    <w:p>
      <w:pPr>
        <w:sectPr>
          <w:pgSz w:w="11900" w:h="16838" w:orient="portrait"/>
          <w:cols w:equalWidth="0" w:num="1">
            <w:col w:w="11420"/>
          </w:cols>
          <w:pgMar w:left="240" w:top="395" w:right="239" w:bottom="1440" w:gutter="0" w:footer="0" w:header="0"/>
        </w:sectPr>
      </w:pPr>
    </w:p>
    <w:p>
      <w:pPr>
        <w:spacing w:after="0" w:line="13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Large accelerated filer</w:t>
      </w:r>
    </w:p>
    <w:p>
      <w:pPr>
        <w:spacing w:after="0" w:line="81"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b w:val="1"/>
          <w:bCs w:val="1"/>
          <w:color w:val="auto"/>
        </w:rPr>
        <w:t xml:space="preserve"> Non-accelerated filer</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Accelerated filer</w:t>
      </w:r>
    </w:p>
    <w:p>
      <w:pPr>
        <w:spacing w:after="0" w:line="58"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Smaller reporting company</w:t>
      </w:r>
    </w:p>
    <w:p>
      <w:pPr>
        <w:spacing w:after="0" w:line="32" w:lineRule="exact"/>
        <w:rPr>
          <w:sz w:val="24"/>
          <w:szCs w:val="24"/>
          <w:color w:val="auto"/>
        </w:rPr>
      </w:pPr>
    </w:p>
    <w:p>
      <w:pPr>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6"/>
          <w:szCs w:val="16"/>
          <w:b w:val="1"/>
          <w:bCs w:val="1"/>
          <w:color w:val="auto"/>
        </w:rPr>
        <w:t xml:space="preserve"> Emerging growth company</w:t>
      </w:r>
    </w:p>
    <w:p>
      <w:pPr>
        <w:spacing w:after="0" w:line="111" w:lineRule="exact"/>
        <w:rPr>
          <w:sz w:val="24"/>
          <w:szCs w:val="24"/>
          <w:color w:val="auto"/>
        </w:rPr>
      </w:pPr>
    </w:p>
    <w:p>
      <w:pPr>
        <w:sectPr>
          <w:pgSz w:w="11900" w:h="16838" w:orient="portrait"/>
          <w:cols w:equalWidth="0" w:num="2">
            <w:col w:w="5000" w:space="720"/>
            <w:col w:w="5700"/>
          </w:cols>
          <w:pgMar w:left="240" w:top="395" w:right="239" w:bottom="1440" w:gutter="0" w:footer="0" w:header="0"/>
          <w:type w:val="continuous"/>
        </w:sectPr>
      </w:pPr>
    </w:p>
    <w:p>
      <w:pPr>
        <w:jc w:val="both"/>
        <w:ind w:right="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w:t>
      </w:r>
      <w:r>
        <w:rPr>
          <w:rFonts w:ascii="Arial" w:cs="Arial" w:eastAsia="Arial" w:hAnsi="Arial"/>
          <w:sz w:val="18"/>
          <w:szCs w:val="18"/>
          <w:b w:val="1"/>
          <w:bCs w:val="1"/>
          <w:color w:val="auto"/>
        </w:rPr>
        <w:t>Yes</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r>
        <w:rPr>
          <w:rFonts w:ascii="Arial" w:cs="Arial" w:eastAsia="Arial" w:hAnsi="Arial"/>
          <w:sz w:val="18"/>
          <w:szCs w:val="18"/>
          <w:color w:val="auto"/>
        </w:rPr>
        <w:t xml:space="preserve"> </w:t>
      </w:r>
      <w:r>
        <w:rPr>
          <w:rFonts w:ascii="Arial" w:cs="Arial" w:eastAsia="Arial" w:hAnsi="Arial"/>
          <w:sz w:val="18"/>
          <w:szCs w:val="18"/>
          <w:b w:val="1"/>
          <w:bCs w:val="1"/>
          <w:color w:val="auto"/>
        </w:rPr>
        <w:t>No</w:t>
      </w:r>
      <w:r>
        <w:rPr>
          <w:rFonts w:ascii="Arial" w:cs="Arial" w:eastAsia="Arial" w:hAnsi="Arial"/>
          <w:sz w:val="18"/>
          <w:szCs w:val="18"/>
          <w:color w:val="auto"/>
        </w:rPr>
        <w:t xml:space="preserve"> </w:t>
      </w:r>
      <w:r>
        <w:rPr>
          <w:rFonts w:ascii="MS PGothic" w:cs="MS PGothic" w:eastAsia="MS PGothic" w:hAnsi="MS PGothic"/>
          <w:sz w:val="18"/>
          <w:szCs w:val="18"/>
          <w:color w:val="auto"/>
          <w:highlight w:val="black"/>
        </w:rPr>
        <w:t>☒</w:t>
      </w:r>
    </w:p>
    <w:p>
      <w:pPr>
        <w:spacing w:after="0" w:line="258" w:lineRule="exact"/>
        <w:rPr>
          <w:sz w:val="24"/>
          <w:szCs w:val="24"/>
          <w:color w:val="auto"/>
        </w:rPr>
      </w:pPr>
    </w:p>
    <w:p>
      <w:pPr>
        <w:jc w:val="both"/>
        <w:spacing w:after="0" w:line="264" w:lineRule="auto"/>
        <w:rPr>
          <w:sz w:val="20"/>
          <w:szCs w:val="20"/>
          <w:color w:val="auto"/>
        </w:rPr>
      </w:pPr>
      <w:r>
        <w:rPr>
          <w:rFonts w:ascii="Arial" w:cs="Arial" w:eastAsia="Arial" w:hAnsi="Arial"/>
          <w:sz w:val="18"/>
          <w:szCs w:val="18"/>
          <w:color w:val="auto"/>
        </w:rPr>
        <w:t xml:space="preserve">State the aggregate market value of the voting and non-voting common equity held by non-affiliates computed by reference to the price at which the common equity was last sold, or the average bid and asked price of such common equity, as of the last business day of the registrant’s most recently completed second fiscal quarter. </w:t>
      </w:r>
      <w:r>
        <w:rPr>
          <w:rFonts w:ascii="Arial" w:cs="Arial" w:eastAsia="Arial" w:hAnsi="Arial"/>
          <w:sz w:val="18"/>
          <w:szCs w:val="18"/>
          <w:b w:val="1"/>
          <w:bCs w:val="1"/>
          <w:color w:val="auto"/>
        </w:rPr>
        <w:t>$22,418,553</w:t>
      </w:r>
    </w:p>
    <w:p>
      <w:pPr>
        <w:spacing w:after="0" w:line="181"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Indicate the number of shares outstanding of each of the registrant’s classes of common stock, as of the latest practicable date. 29,318,081 common shares as of February 28,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95"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800" w:type="dxa"/>
            <w:vAlign w:val="bottom"/>
            <w:gridSpan w:val="15"/>
          </w:tcPr>
          <w:p>
            <w:pPr>
              <w:jc w:val="center"/>
              <w:ind w:right="3320"/>
              <w:spacing w:after="0"/>
              <w:rPr>
                <w:sz w:val="20"/>
                <w:szCs w:val="20"/>
                <w:color w:val="auto"/>
              </w:rPr>
            </w:pPr>
            <w:r>
              <w:rPr>
                <w:rFonts w:ascii="Arial" w:cs="Arial" w:eastAsia="Arial" w:hAnsi="Arial"/>
                <w:sz w:val="18"/>
                <w:szCs w:val="18"/>
                <w:b w:val="1"/>
                <w:bCs w:val="1"/>
                <w:color w:val="auto"/>
                <w:w w:val="98"/>
              </w:rPr>
              <w:t>TABLE OF CONTENTS</w:t>
            </w:r>
          </w:p>
        </w:tc>
        <w:tc>
          <w:tcPr>
            <w:tcW w:w="1140" w:type="dxa"/>
            <w:vAlign w:val="bottom"/>
          </w:tcPr>
          <w:p>
            <w:pPr>
              <w:spacing w:after="0"/>
              <w:rPr>
                <w:sz w:val="17"/>
                <w:szCs w:val="17"/>
                <w:color w:val="auto"/>
              </w:rPr>
            </w:pPr>
          </w:p>
        </w:tc>
      </w:tr>
      <w:tr>
        <w:trPr>
          <w:trHeight w:val="689"/>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4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Page</w:t>
            </w:r>
          </w:p>
        </w:tc>
      </w:tr>
      <w:tr>
        <w:trPr>
          <w:trHeight w:val="162"/>
        </w:trPr>
        <w:tc>
          <w:tcPr>
            <w:tcW w:w="1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40" w:type="dxa"/>
            <w:vAlign w:val="bottom"/>
            <w:gridSpan w:val="10"/>
          </w:tcPr>
          <w:p>
            <w:pPr>
              <w:jc w:val="center"/>
              <w:ind w:right="4300"/>
              <w:spacing w:after="0" w:line="162" w:lineRule="exact"/>
              <w:rPr>
                <w:rFonts w:ascii="Arial" w:cs="Arial" w:eastAsia="Arial" w:hAnsi="Arial"/>
                <w:sz w:val="18"/>
                <w:szCs w:val="18"/>
                <w:color w:val="0000EE"/>
                <w:w w:val="92"/>
              </w:rPr>
            </w:pPr>
            <w:hyperlink w:anchor="page3">
              <w:r>
                <w:rPr>
                  <w:rFonts w:ascii="Arial" w:cs="Arial" w:eastAsia="Arial" w:hAnsi="Arial"/>
                  <w:sz w:val="18"/>
                  <w:szCs w:val="18"/>
                  <w:color w:val="0000EE"/>
                  <w:w w:val="92"/>
                </w:rPr>
                <w:t>PART I</w:t>
              </w:r>
            </w:hyperlink>
          </w:p>
        </w:tc>
        <w:tc>
          <w:tcPr>
            <w:tcW w:w="1140" w:type="dxa"/>
            <w:vAlign w:val="bottom"/>
          </w:tcPr>
          <w:p>
            <w:pPr>
              <w:spacing w:after="0"/>
              <w:rPr>
                <w:sz w:val="14"/>
                <w:szCs w:val="1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3">
              <w:r>
                <w:rPr>
                  <w:rFonts w:ascii="Arial" w:cs="Arial" w:eastAsia="Arial" w:hAnsi="Arial"/>
                  <w:sz w:val="18"/>
                  <w:szCs w:val="18"/>
                  <w:color w:val="0000EE"/>
                  <w:w w:val="84"/>
                </w:rPr>
                <w:t>Business</w:t>
              </w:r>
            </w:hyperlink>
          </w:p>
        </w:tc>
        <w:tc>
          <w:tcPr>
            <w:tcW w:w="3640" w:type="dxa"/>
            <w:vAlign w:val="bottom"/>
            <w:gridSpan w:val="16"/>
          </w:tcPr>
          <w:p>
            <w:pPr>
              <w:spacing w:after="0"/>
              <w:rPr>
                <w:sz w:val="24"/>
                <w:szCs w:val="24"/>
                <w:color w:val="auto"/>
              </w:rPr>
            </w:pPr>
          </w:p>
        </w:tc>
        <w:tc>
          <w:tcPr>
            <w:tcW w:w="540" w:type="dxa"/>
            <w:vAlign w:val="bottom"/>
            <w:tcBorders>
              <w:top w:val="single" w:sz="8" w:color="0000EE"/>
            </w:tcBorders>
          </w:tcPr>
          <w:p>
            <w:pPr>
              <w:spacing w:after="0"/>
              <w:rPr>
                <w:sz w:val="24"/>
                <w:szCs w:val="24"/>
                <w:color w:val="auto"/>
              </w:rPr>
            </w:pPr>
          </w:p>
        </w:tc>
        <w:tc>
          <w:tcPr>
            <w:tcW w:w="4300" w:type="dxa"/>
            <w:vAlign w:val="bottom"/>
            <w:gridSpan w:val="9"/>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9"/>
              </w:rPr>
              <w:t>1</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1A.</w:t>
            </w:r>
          </w:p>
        </w:tc>
        <w:tc>
          <w:tcPr>
            <w:tcW w:w="9120" w:type="dxa"/>
            <w:vAlign w:val="bottom"/>
            <w:gridSpan w:val="27"/>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Risk Factors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99"/>
              </w:rPr>
              <w:t>6</w:t>
            </w: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1B.</w:t>
            </w:r>
          </w:p>
        </w:tc>
        <w:tc>
          <w:tcPr>
            <w:tcW w:w="9120" w:type="dxa"/>
            <w:vAlign w:val="bottom"/>
            <w:gridSpan w:val="2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Unresolved Staff Comments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11</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2.</w:t>
            </w:r>
          </w:p>
        </w:tc>
        <w:tc>
          <w:tcPr>
            <w:tcW w:w="204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Properties</w:t>
              </w:r>
            </w:hyperlink>
          </w:p>
        </w:tc>
        <w:tc>
          <w:tcPr>
            <w:tcW w:w="7080" w:type="dxa"/>
            <w:vAlign w:val="bottom"/>
            <w:gridSpan w:val="18"/>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11</w:t>
            </w:r>
          </w:p>
        </w:tc>
      </w:tr>
      <w:tr>
        <w:trPr>
          <w:trHeight w:val="20"/>
        </w:trPr>
        <w:tc>
          <w:tcPr>
            <w:tcW w:w="116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3.</w:t>
            </w:r>
          </w:p>
        </w:tc>
        <w:tc>
          <w:tcPr>
            <w:tcW w:w="134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13">
              <w:r>
                <w:rPr>
                  <w:rFonts w:ascii="Arial" w:cs="Arial" w:eastAsia="Arial" w:hAnsi="Arial"/>
                  <w:sz w:val="18"/>
                  <w:szCs w:val="18"/>
                  <w:color w:val="0000EE"/>
                  <w:w w:val="88"/>
                </w:rPr>
                <w:t>Legal Proceedings</w:t>
              </w:r>
            </w:hyperlink>
          </w:p>
        </w:tc>
        <w:tc>
          <w:tcPr>
            <w:tcW w:w="7780" w:type="dxa"/>
            <w:vAlign w:val="bottom"/>
            <w:gridSpan w:val="22"/>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11</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4.</w:t>
            </w:r>
          </w:p>
        </w:tc>
        <w:tc>
          <w:tcPr>
            <w:tcW w:w="9120" w:type="dxa"/>
            <w:vAlign w:val="bottom"/>
            <w:gridSpan w:val="27"/>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Mine Safety Disclosures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11</w:t>
            </w:r>
          </w:p>
        </w:tc>
      </w:tr>
      <w:tr>
        <w:trPr>
          <w:trHeight w:val="412"/>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Borders>
              <w:bottom w:val="single" w:sz="8" w:color="0000EE"/>
            </w:tcBorders>
            <w:gridSpan w:val="3"/>
          </w:tcPr>
          <w:p>
            <w:pPr>
              <w:jc w:val="center"/>
              <w:spacing w:after="0"/>
              <w:rPr>
                <w:rFonts w:ascii="Arial" w:cs="Arial" w:eastAsia="Arial" w:hAnsi="Arial"/>
                <w:sz w:val="18"/>
                <w:szCs w:val="18"/>
                <w:color w:val="0000EE"/>
                <w:w w:val="95"/>
              </w:rPr>
            </w:pPr>
            <w:hyperlink w:anchor="page14">
              <w:r>
                <w:rPr>
                  <w:rFonts w:ascii="Arial" w:cs="Arial" w:eastAsia="Arial" w:hAnsi="Arial"/>
                  <w:sz w:val="18"/>
                  <w:szCs w:val="18"/>
                  <w:color w:val="0000EE"/>
                  <w:w w:val="95"/>
                </w:rPr>
                <w:t>PART II</w:t>
              </w:r>
            </w:hyperlink>
          </w:p>
        </w:tc>
        <w:tc>
          <w:tcPr>
            <w:tcW w:w="4260" w:type="dxa"/>
            <w:vAlign w:val="bottom"/>
            <w:gridSpan w:val="8"/>
          </w:tcPr>
          <w:p>
            <w:pPr>
              <w:spacing w:after="0"/>
              <w:rPr>
                <w:sz w:val="24"/>
                <w:szCs w:val="24"/>
                <w:color w:val="auto"/>
              </w:rPr>
            </w:pPr>
          </w:p>
        </w:tc>
        <w:tc>
          <w:tcPr>
            <w:tcW w:w="1140" w:type="dxa"/>
            <w:vAlign w:val="bottom"/>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Item 5.</w:t>
            </w:r>
          </w:p>
        </w:tc>
        <w:tc>
          <w:tcPr>
            <w:tcW w:w="9120" w:type="dxa"/>
            <w:vAlign w:val="bottom"/>
            <w:gridSpan w:val="27"/>
          </w:tcPr>
          <w:p>
            <w:pPr>
              <w:spacing w:after="0"/>
              <w:rPr>
                <w:rFonts w:ascii="Arial" w:cs="Arial" w:eastAsia="Arial" w:hAnsi="Arial"/>
                <w:sz w:val="18"/>
                <w:szCs w:val="18"/>
                <w:color w:val="0000EE"/>
                <w:w w:val="98"/>
              </w:rPr>
            </w:pPr>
            <w:hyperlink w:anchor="page14">
              <w:r>
                <w:rPr>
                  <w:rFonts w:ascii="Arial" w:cs="Arial" w:eastAsia="Arial" w:hAnsi="Arial"/>
                  <w:sz w:val="18"/>
                  <w:szCs w:val="18"/>
                  <w:color w:val="0000EE"/>
                  <w:w w:val="98"/>
                </w:rPr>
                <w:t>Market for Registrant’s Common Equity and Related Stockholder Matters and Issuer Purchases of Equity Securities</w:t>
              </w:r>
            </w:hyperlink>
          </w:p>
        </w:tc>
        <w:tc>
          <w:tcPr>
            <w:tcW w:w="1140" w:type="dxa"/>
            <w:vAlign w:val="bottom"/>
          </w:tcPr>
          <w:p>
            <w:pPr>
              <w:jc w:val="right"/>
              <w:ind w:right="410"/>
              <w:spacing w:after="0"/>
              <w:rPr>
                <w:sz w:val="20"/>
                <w:szCs w:val="20"/>
                <w:color w:val="auto"/>
              </w:rPr>
            </w:pPr>
            <w:r>
              <w:rPr>
                <w:rFonts w:ascii="Arial" w:cs="Arial" w:eastAsia="Arial" w:hAnsi="Arial"/>
                <w:sz w:val="18"/>
                <w:szCs w:val="18"/>
                <w:color w:val="auto"/>
              </w:rPr>
              <w:t>12</w:t>
            </w: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Item 6.</w:t>
            </w:r>
          </w:p>
        </w:tc>
        <w:tc>
          <w:tcPr>
            <w:tcW w:w="8340" w:type="dxa"/>
            <w:vAlign w:val="bottom"/>
            <w:tcBorders>
              <w:top w:val="single" w:sz="8" w:color="0000EE"/>
            </w:tcBorders>
            <w:gridSpan w:val="26"/>
          </w:tcPr>
          <w:p>
            <w:pPr>
              <w:spacing w:after="0"/>
              <w:rPr>
                <w:rFonts w:ascii="Arial" w:cs="Arial" w:eastAsia="Arial" w:hAnsi="Arial"/>
                <w:sz w:val="18"/>
                <w:szCs w:val="18"/>
                <w:color w:val="0000EE"/>
              </w:rPr>
            </w:pPr>
            <w:hyperlink w:anchor="page16">
              <w:r>
                <w:rPr>
                  <w:rFonts w:ascii="Arial" w:cs="Arial" w:eastAsia="Arial" w:hAnsi="Arial"/>
                  <w:sz w:val="18"/>
                  <w:szCs w:val="18"/>
                  <w:color w:val="0000EE"/>
                </w:rPr>
                <w:t>Selected Financial Data</w:t>
              </w:r>
            </w:hyperlink>
          </w:p>
        </w:tc>
        <w:tc>
          <w:tcPr>
            <w:tcW w:w="780" w:type="dxa"/>
            <w:vAlign w:val="bottom"/>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14</w:t>
            </w:r>
          </w:p>
        </w:tc>
      </w:tr>
      <w:tr>
        <w:trPr>
          <w:trHeight w:val="20"/>
        </w:trPr>
        <w:tc>
          <w:tcPr>
            <w:tcW w:w="1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7.</w:t>
            </w:r>
          </w:p>
        </w:tc>
        <w:tc>
          <w:tcPr>
            <w:tcW w:w="6460" w:type="dxa"/>
            <w:vAlign w:val="bottom"/>
            <w:tcBorders>
              <w:bottom w:val="single" w:sz="8" w:color="0000EE"/>
            </w:tcBorders>
            <w:gridSpan w:val="23"/>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Management’s Discussion and Analysis of Financial Condition and Results of Operations</w:t>
              </w:r>
            </w:hyperlink>
          </w:p>
        </w:tc>
        <w:tc>
          <w:tcPr>
            <w:tcW w:w="2660" w:type="dxa"/>
            <w:vAlign w:val="bottom"/>
            <w:gridSpan w:val="4"/>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15</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8.</w:t>
            </w:r>
          </w:p>
        </w:tc>
        <w:tc>
          <w:tcPr>
            <w:tcW w:w="9120" w:type="dxa"/>
            <w:vAlign w:val="bottom"/>
            <w:gridSpan w:val="2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Financial Statements and Supplementary Data</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19</w:t>
            </w:r>
          </w:p>
        </w:tc>
      </w:tr>
      <w:tr>
        <w:trPr>
          <w:trHeight w:val="20"/>
        </w:trPr>
        <w:tc>
          <w:tcPr>
            <w:tcW w:w="1160" w:type="dxa"/>
            <w:vAlign w:val="bottom"/>
          </w:tcPr>
          <w:p>
            <w:pPr>
              <w:spacing w:after="0" w:line="20" w:lineRule="exact"/>
              <w:rPr>
                <w:sz w:val="1"/>
                <w:szCs w:val="1"/>
                <w:color w:val="auto"/>
              </w:rPr>
            </w:pPr>
          </w:p>
        </w:tc>
        <w:tc>
          <w:tcPr>
            <w:tcW w:w="1320" w:type="dxa"/>
            <w:vAlign w:val="bottom"/>
            <w:gridSpan w:val="4"/>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9.</w:t>
            </w:r>
          </w:p>
        </w:tc>
        <w:tc>
          <w:tcPr>
            <w:tcW w:w="6520" w:type="dxa"/>
            <w:vAlign w:val="bottom"/>
            <w:tcBorders>
              <w:bottom w:val="single" w:sz="8" w:color="0000EE"/>
            </w:tcBorders>
            <w:gridSpan w:val="24"/>
          </w:tcPr>
          <w:p>
            <w:pPr>
              <w:spacing w:after="0" w:line="196" w:lineRule="exact"/>
              <w:rPr>
                <w:rFonts w:ascii="Arial" w:cs="Arial" w:eastAsia="Arial" w:hAnsi="Arial"/>
                <w:sz w:val="18"/>
                <w:szCs w:val="18"/>
                <w:color w:val="0000EE"/>
                <w:w w:val="90"/>
              </w:rPr>
            </w:pPr>
            <w:hyperlink w:anchor="page42">
              <w:r>
                <w:rPr>
                  <w:rFonts w:ascii="Arial" w:cs="Arial" w:eastAsia="Arial" w:hAnsi="Arial"/>
                  <w:sz w:val="18"/>
                  <w:szCs w:val="18"/>
                  <w:color w:val="0000EE"/>
                  <w:w w:val="90"/>
                </w:rPr>
                <w:t>Changes In and Disagreements With Accountants on Accounting and Financial Disclosure</w:t>
              </w:r>
            </w:hyperlink>
          </w:p>
        </w:tc>
        <w:tc>
          <w:tcPr>
            <w:tcW w:w="2600" w:type="dxa"/>
            <w:vAlign w:val="bottom"/>
            <w:gridSpan w:val="3"/>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9A.</w:t>
            </w:r>
          </w:p>
        </w:tc>
        <w:tc>
          <w:tcPr>
            <w:tcW w:w="9120" w:type="dxa"/>
            <w:vAlign w:val="bottom"/>
            <w:gridSpan w:val="2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Controls and Procedures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9B.</w:t>
            </w:r>
          </w:p>
        </w:tc>
        <w:tc>
          <w:tcPr>
            <w:tcW w:w="176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42">
              <w:r>
                <w:rPr>
                  <w:rFonts w:ascii="Arial" w:cs="Arial" w:eastAsia="Arial" w:hAnsi="Arial"/>
                  <w:sz w:val="18"/>
                  <w:szCs w:val="18"/>
                  <w:color w:val="0000EE"/>
                </w:rPr>
                <w:t>Other Information</w:t>
              </w:r>
            </w:hyperlink>
          </w:p>
        </w:tc>
        <w:tc>
          <w:tcPr>
            <w:tcW w:w="7360" w:type="dxa"/>
            <w:vAlign w:val="bottom"/>
            <w:gridSpan w:val="20"/>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20</w:t>
            </w:r>
          </w:p>
        </w:tc>
      </w:tr>
      <w:tr>
        <w:trPr>
          <w:trHeight w:val="412"/>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12"/>
          </w:tcPr>
          <w:p>
            <w:pPr>
              <w:jc w:val="center"/>
              <w:ind w:right="4240"/>
              <w:spacing w:after="0"/>
              <w:rPr>
                <w:rFonts w:ascii="Arial" w:cs="Arial" w:eastAsia="Arial" w:hAnsi="Arial"/>
                <w:sz w:val="18"/>
                <w:szCs w:val="18"/>
                <w:color w:val="0000EE"/>
                <w:w w:val="96"/>
              </w:rPr>
            </w:pPr>
            <w:hyperlink w:anchor="page43">
              <w:r>
                <w:rPr>
                  <w:rFonts w:ascii="Arial" w:cs="Arial" w:eastAsia="Arial" w:hAnsi="Arial"/>
                  <w:sz w:val="18"/>
                  <w:szCs w:val="18"/>
                  <w:color w:val="0000EE"/>
                  <w:w w:val="96"/>
                </w:rPr>
                <w:t>PART III</w:t>
              </w:r>
            </w:hyperlink>
          </w:p>
        </w:tc>
        <w:tc>
          <w:tcPr>
            <w:tcW w:w="1140" w:type="dxa"/>
            <w:vAlign w:val="bottom"/>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Item 10.</w:t>
            </w:r>
          </w:p>
        </w:tc>
        <w:tc>
          <w:tcPr>
            <w:tcW w:w="410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43">
              <w:r>
                <w:rPr>
                  <w:rFonts w:ascii="Arial" w:cs="Arial" w:eastAsia="Arial" w:hAnsi="Arial"/>
                  <w:sz w:val="18"/>
                  <w:szCs w:val="18"/>
                  <w:color w:val="0000EE"/>
                  <w:w w:val="90"/>
                </w:rPr>
                <w:t>Directors, Executive Officers and Corporate Governance</w:t>
              </w:r>
            </w:hyperlink>
          </w:p>
        </w:tc>
        <w:tc>
          <w:tcPr>
            <w:tcW w:w="120" w:type="dxa"/>
            <w:vAlign w:val="bottom"/>
          </w:tcPr>
          <w:p>
            <w:pPr>
              <w:spacing w:after="0"/>
              <w:rPr>
                <w:sz w:val="24"/>
                <w:szCs w:val="24"/>
                <w:color w:val="auto"/>
              </w:rPr>
            </w:pPr>
          </w:p>
        </w:tc>
        <w:tc>
          <w:tcPr>
            <w:tcW w:w="660" w:type="dxa"/>
            <w:vAlign w:val="bottom"/>
            <w:tcBorders>
              <w:top w:val="single" w:sz="8" w:color="0000EE"/>
            </w:tcBorders>
            <w:gridSpan w:val="5"/>
          </w:tcPr>
          <w:p>
            <w:pPr>
              <w:spacing w:after="0"/>
              <w:rPr>
                <w:sz w:val="24"/>
                <w:szCs w:val="24"/>
                <w:color w:val="auto"/>
              </w:rPr>
            </w:pPr>
          </w:p>
        </w:tc>
        <w:tc>
          <w:tcPr>
            <w:tcW w:w="4240" w:type="dxa"/>
            <w:vAlign w:val="bottom"/>
            <w:gridSpan w:val="7"/>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21</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11.</w:t>
            </w:r>
          </w:p>
        </w:tc>
        <w:tc>
          <w:tcPr>
            <w:tcW w:w="9120" w:type="dxa"/>
            <w:vAlign w:val="bottom"/>
            <w:gridSpan w:val="27"/>
          </w:tcPr>
          <w:p>
            <w:pPr>
              <w:spacing w:after="0" w:line="196" w:lineRule="exact"/>
              <w:rPr>
                <w:rFonts w:ascii="Arial" w:cs="Arial" w:eastAsia="Arial" w:hAnsi="Arial"/>
                <w:sz w:val="18"/>
                <w:szCs w:val="18"/>
                <w:color w:val="0000EE"/>
              </w:rPr>
            </w:pPr>
            <w:hyperlink w:anchor="page49">
              <w:r>
                <w:rPr>
                  <w:rFonts w:ascii="Arial" w:cs="Arial" w:eastAsia="Arial" w:hAnsi="Arial"/>
                  <w:sz w:val="18"/>
                  <w:szCs w:val="18"/>
                  <w:color w:val="0000EE"/>
                </w:rPr>
                <w:t>Executive Compensation</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27</w:t>
            </w:r>
          </w:p>
        </w:tc>
      </w:tr>
      <w:tr>
        <w:trPr>
          <w:trHeight w:val="20"/>
        </w:trPr>
        <w:tc>
          <w:tcPr>
            <w:tcW w:w="1160" w:type="dxa"/>
            <w:vAlign w:val="bottom"/>
          </w:tcPr>
          <w:p>
            <w:pPr>
              <w:spacing w:after="0" w:line="20" w:lineRule="exact"/>
              <w:rPr>
                <w:sz w:val="1"/>
                <w:szCs w:val="1"/>
                <w:color w:val="auto"/>
              </w:rPr>
            </w:pPr>
          </w:p>
        </w:tc>
        <w:tc>
          <w:tcPr>
            <w:tcW w:w="1800" w:type="dxa"/>
            <w:vAlign w:val="bottom"/>
            <w:gridSpan w:val="8"/>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320" w:type="dxa"/>
            <w:vAlign w:val="bottom"/>
            <w:gridSpan w:val="4"/>
          </w:tcPr>
          <w:p>
            <w:pPr>
              <w:spacing w:after="0" w:line="20" w:lineRule="exact"/>
              <w:rPr>
                <w:sz w:val="1"/>
                <w:szCs w:val="1"/>
                <w:color w:val="auto"/>
              </w:rPr>
            </w:pPr>
          </w:p>
        </w:tc>
        <w:tc>
          <w:tcPr>
            <w:tcW w:w="660" w:type="dxa"/>
            <w:vAlign w:val="bottom"/>
            <w:gridSpan w:val="5"/>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40" w:type="dxa"/>
            <w:vAlign w:val="bottom"/>
            <w:gridSpan w:val="4"/>
          </w:tcPr>
          <w:p>
            <w:pPr>
              <w:spacing w:after="0" w:line="20" w:lineRule="exact"/>
              <w:rPr>
                <w:sz w:val="1"/>
                <w:szCs w:val="1"/>
                <w:color w:val="auto"/>
              </w:rPr>
            </w:pPr>
          </w:p>
        </w:tc>
        <w:tc>
          <w:tcPr>
            <w:tcW w:w="184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12.</w:t>
            </w:r>
          </w:p>
        </w:tc>
        <w:tc>
          <w:tcPr>
            <w:tcW w:w="9120" w:type="dxa"/>
            <w:vAlign w:val="bottom"/>
            <w:gridSpan w:val="27"/>
          </w:tcPr>
          <w:p>
            <w:pPr>
              <w:spacing w:after="0" w:line="196" w:lineRule="exact"/>
              <w:rPr>
                <w:rFonts w:ascii="Arial" w:cs="Arial" w:eastAsia="Arial" w:hAnsi="Arial"/>
                <w:sz w:val="18"/>
                <w:szCs w:val="18"/>
                <w:color w:val="0000EE"/>
              </w:rPr>
            </w:pPr>
            <w:hyperlink w:anchor="page53">
              <w:r>
                <w:rPr>
                  <w:rFonts w:ascii="Arial" w:cs="Arial" w:eastAsia="Arial" w:hAnsi="Arial"/>
                  <w:sz w:val="18"/>
                  <w:szCs w:val="18"/>
                  <w:color w:val="0000EE"/>
                </w:rPr>
                <w:t>Security Ownership of Certain Beneficial Owners and Management and Related Stockholder Matters</w:t>
              </w:r>
            </w:hyperlink>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31</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13.</w:t>
            </w:r>
          </w:p>
        </w:tc>
        <w:tc>
          <w:tcPr>
            <w:tcW w:w="7280" w:type="dxa"/>
            <w:vAlign w:val="bottom"/>
            <w:tcBorders>
              <w:top w:val="single" w:sz="8" w:color="0000EE"/>
            </w:tcBorders>
            <w:gridSpan w:val="25"/>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Certain Relationships and Related Transactions, and Director Independence</w:t>
              </w:r>
            </w:hyperlink>
          </w:p>
        </w:tc>
        <w:tc>
          <w:tcPr>
            <w:tcW w:w="1840" w:type="dxa"/>
            <w:vAlign w:val="bottom"/>
            <w:gridSpan w:val="2"/>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32</w:t>
            </w:r>
          </w:p>
        </w:tc>
      </w:tr>
      <w:tr>
        <w:trPr>
          <w:trHeight w:val="196"/>
        </w:trPr>
        <w:tc>
          <w:tcPr>
            <w:tcW w:w="1160" w:type="dxa"/>
            <w:vAlign w:val="bottom"/>
          </w:tcPr>
          <w:p>
            <w:pPr>
              <w:spacing w:after="0" w:line="196" w:lineRule="exact"/>
              <w:rPr>
                <w:sz w:val="20"/>
                <w:szCs w:val="20"/>
                <w:color w:val="auto"/>
              </w:rPr>
            </w:pPr>
            <w:r>
              <w:rPr>
                <w:rFonts w:ascii="Arial" w:cs="Arial" w:eastAsia="Arial" w:hAnsi="Arial"/>
                <w:sz w:val="18"/>
                <w:szCs w:val="18"/>
                <w:color w:val="auto"/>
              </w:rPr>
              <w:t>Item 14.</w:t>
            </w:r>
          </w:p>
        </w:tc>
        <w:tc>
          <w:tcPr>
            <w:tcW w:w="544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Principal Accountant Fees and Services</w:t>
              </w:r>
            </w:hyperlink>
          </w:p>
        </w:tc>
        <w:tc>
          <w:tcPr>
            <w:tcW w:w="3680" w:type="dxa"/>
            <w:vAlign w:val="bottom"/>
            <w:gridSpan w:val="6"/>
          </w:tcPr>
          <w:p>
            <w:pPr>
              <w:spacing w:after="0"/>
              <w:rPr>
                <w:sz w:val="17"/>
                <w:szCs w:val="17"/>
                <w:color w:val="auto"/>
              </w:rPr>
            </w:pPr>
          </w:p>
        </w:tc>
        <w:tc>
          <w:tcPr>
            <w:tcW w:w="1140" w:type="dxa"/>
            <w:vAlign w:val="bottom"/>
          </w:tcPr>
          <w:p>
            <w:pPr>
              <w:jc w:val="center"/>
              <w:spacing w:after="0" w:line="196" w:lineRule="exact"/>
              <w:rPr>
                <w:sz w:val="20"/>
                <w:szCs w:val="20"/>
                <w:color w:val="auto"/>
              </w:rPr>
            </w:pPr>
            <w:r>
              <w:rPr>
                <w:rFonts w:ascii="Arial" w:cs="Arial" w:eastAsia="Arial" w:hAnsi="Arial"/>
                <w:sz w:val="18"/>
                <w:szCs w:val="18"/>
                <w:color w:val="auto"/>
                <w:w w:val="89"/>
              </w:rPr>
              <w:t>34</w:t>
            </w:r>
          </w:p>
        </w:tc>
      </w:tr>
      <w:tr>
        <w:trPr>
          <w:trHeight w:val="412"/>
        </w:trPr>
        <w:tc>
          <w:tcPr>
            <w:tcW w:w="116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00" w:type="dxa"/>
            <w:vAlign w:val="bottom"/>
            <w:gridSpan w:val="12"/>
          </w:tcPr>
          <w:p>
            <w:pPr>
              <w:jc w:val="center"/>
              <w:ind w:right="4240"/>
              <w:spacing w:after="0"/>
              <w:rPr>
                <w:rFonts w:ascii="Arial" w:cs="Arial" w:eastAsia="Arial" w:hAnsi="Arial"/>
                <w:sz w:val="18"/>
                <w:szCs w:val="18"/>
                <w:color w:val="0000EE"/>
                <w:w w:val="94"/>
              </w:rPr>
            </w:pPr>
            <w:hyperlink w:anchor="page57">
              <w:r>
                <w:rPr>
                  <w:rFonts w:ascii="Arial" w:cs="Arial" w:eastAsia="Arial" w:hAnsi="Arial"/>
                  <w:sz w:val="18"/>
                  <w:szCs w:val="18"/>
                  <w:color w:val="0000EE"/>
                  <w:w w:val="94"/>
                </w:rPr>
                <w:t>PART IV</w:t>
              </w:r>
            </w:hyperlink>
          </w:p>
        </w:tc>
        <w:tc>
          <w:tcPr>
            <w:tcW w:w="1140" w:type="dxa"/>
            <w:vAlign w:val="bottom"/>
          </w:tcPr>
          <w:p>
            <w:pPr>
              <w:spacing w:after="0"/>
              <w:rPr>
                <w:sz w:val="24"/>
                <w:szCs w:val="24"/>
                <w:color w:val="auto"/>
              </w:rPr>
            </w:pPr>
          </w:p>
        </w:tc>
      </w:tr>
      <w:tr>
        <w:trPr>
          <w:trHeight w:val="412"/>
        </w:trPr>
        <w:tc>
          <w:tcPr>
            <w:tcW w:w="1160" w:type="dxa"/>
            <w:vAlign w:val="bottom"/>
          </w:tcPr>
          <w:p>
            <w:pPr>
              <w:spacing w:after="0"/>
              <w:rPr>
                <w:sz w:val="20"/>
                <w:szCs w:val="20"/>
                <w:color w:val="auto"/>
              </w:rPr>
            </w:pPr>
            <w:r>
              <w:rPr>
                <w:rFonts w:ascii="Arial" w:cs="Arial" w:eastAsia="Arial" w:hAnsi="Arial"/>
                <w:sz w:val="18"/>
                <w:szCs w:val="18"/>
                <w:color w:val="auto"/>
              </w:rPr>
              <w:t>Item 15.</w:t>
            </w:r>
          </w:p>
        </w:tc>
        <w:tc>
          <w:tcPr>
            <w:tcW w:w="4220" w:type="dxa"/>
            <w:vAlign w:val="bottom"/>
            <w:gridSpan w:val="15"/>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Exhibits, Financial Statement Schedules</w:t>
              </w:r>
            </w:hyperlink>
          </w:p>
        </w:tc>
        <w:tc>
          <w:tcPr>
            <w:tcW w:w="660" w:type="dxa"/>
            <w:vAlign w:val="bottom"/>
            <w:tcBorders>
              <w:top w:val="single" w:sz="8" w:color="0000EE"/>
            </w:tcBorders>
            <w:gridSpan w:val="5"/>
          </w:tcPr>
          <w:p>
            <w:pPr>
              <w:spacing w:after="0"/>
              <w:rPr>
                <w:sz w:val="24"/>
                <w:szCs w:val="24"/>
                <w:color w:val="auto"/>
              </w:rPr>
            </w:pPr>
          </w:p>
        </w:tc>
        <w:tc>
          <w:tcPr>
            <w:tcW w:w="4240" w:type="dxa"/>
            <w:vAlign w:val="bottom"/>
            <w:gridSpan w:val="7"/>
          </w:tcPr>
          <w:p>
            <w:pPr>
              <w:spacing w:after="0"/>
              <w:rPr>
                <w:sz w:val="24"/>
                <w:szCs w:val="24"/>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35</w:t>
            </w:r>
          </w:p>
        </w:tc>
      </w:tr>
      <w:tr>
        <w:trPr>
          <w:trHeight w:val="460"/>
        </w:trPr>
        <w:tc>
          <w:tcPr>
            <w:tcW w:w="116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42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36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40" w:type="dxa"/>
            <w:vAlign w:val="bottom"/>
            <w:tcBorders>
              <w:top w:val="single" w:sz="8" w:color="0000EE"/>
              <w:bottom w:val="single" w:sz="8" w:color="auto"/>
            </w:tcBorders>
          </w:tcPr>
          <w:p>
            <w:pPr>
              <w:spacing w:after="0"/>
              <w:rPr>
                <w:sz w:val="24"/>
                <w:szCs w:val="24"/>
                <w:color w:val="auto"/>
              </w:rPr>
            </w:pPr>
          </w:p>
        </w:tc>
        <w:tc>
          <w:tcPr>
            <w:tcW w:w="8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32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Annual Report on Form 10-K contains forward-looking statements, within the meaning of the Private Securities Litigation Reform Act of 1995. Certain statements, other than purely historical information, including estimates, projections, statements relating to our business plans, objectives, and expected operating results, and the assumptions upon which those statements are based, are “forward-looking statements.” These forward-looking statements generally are identified by the words “believes,” “project,” “expects,” “anticipates,” “estimates,” “intends,” “strategy,” “plan,” “may,” “will,” “would,” “will be,” “will continue,” “will likely result,” and similar expressions. Forward-looking statements are based on current expectations and assumptions that are subject to risks and uncertainties which may cause actual results to differ materially from the forward-looking statements. Our ability to predict results or the actual effect of future plans or strategies is inherently uncertain. Factors which could have a material adverse effect on our operations and future prospects on a consolidated basis include but are not limited to: changes in economic conditions, legislative/regulatory changes, availability of capital, interest rates, competition, and generally accepted accounting principles. These risks and uncertainties should also be considered in evaluating forward-looking statements and undue reliance should not be placed on such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a leading provider of digital health messaging via electronic health records (EHRs), providing a direct channel for pharmaceutical companies to communicate with healthcare providers. Our cloud-based solution supports patient adherence to medications by providing real-time access to financial assistance, prior authorization, education and critical clinical information. Our network is comprised of leading EHR platforms and provides more than half a million healthcare providers access to these benefits within their workflow at the point of care.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Company Highlights</w:t>
      </w:r>
    </w:p>
    <w:p>
      <w:pPr>
        <w:spacing w:after="0" w:line="229"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revenue increased 56% to a record $12.1 million in 2017 over 2016.</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Net revenue was a record $4.0 million in Q4 2017, up 75% over Q4 2016.</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Appointed health IT industry veteran, Miriam Paramore, as president to expand our electronic health records (EHR) network, add new solutions and drive scale in our business model.</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our sales team and established a strong base which helped drive record revenues for Q3 and Q4 2017 with expected revenue growth in 2018 and beyond.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Acquired new pharmaceutical manufacturers and brands for our core offerings of Financial and Brand messaging for distribution through our expanding channel partners.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Continued growth through our success in acquiring, integrating and expanding into new promotional EHR/eRx platforms with a greater than 20% increase in reach to healthcare providers in 2017.</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Proven investment returns from our pharmaceutical promotions, as determined by an independent analytics firm, with multiple pharmaceutical brands that differentiates our programs as one of the most effective digital tactics available to pharmaceutical firms.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Expanded our exclusive partnership with Allscripts Healthcare, which now includes real-time financial, informational, and clinical messaging to Allscripts ambulatory platforms.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Pharmaceutical Sales and Marketing Updates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Our sales team continues to expand our business with existing clients and win new clients. We are focused on adding additional brands for existing clients, providing new solutions, expanding the utilization of our network for existing brands, and obtaining new clients.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Additionally, we expanded our service offerings:</w:t>
      </w:r>
    </w:p>
    <w:p>
      <w:pPr>
        <w:spacing w:after="0" w:line="225" w:lineRule="exact"/>
        <w:rPr>
          <w:sz w:val="20"/>
          <w:szCs w:val="20"/>
          <w:color w:val="auto"/>
        </w:rPr>
      </w:pPr>
    </w:p>
    <w:p>
      <w:pPr>
        <w:jc w:val="both"/>
        <w:ind w:left="660" w:hanging="328"/>
        <w:spacing w:after="0" w:line="264"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Brand Messaging – We have successfully integrated our new platform with partners in 2017 and have launched initial programs. Additionally, we expect our exclusive partnership with Allscripts, which allows us to offer LogRx brand messaging and Infoscripts messaging, to accelerate revenue growth in this area.</w:t>
      </w:r>
    </w:p>
    <w:p>
      <w:pPr>
        <w:spacing w:after="0" w:line="181"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3"/>
        </w:numPr>
        <w:rPr>
          <w:rFonts w:ascii="Arial" w:cs="Arial" w:eastAsia="Arial" w:hAnsi="Arial"/>
          <w:sz w:val="16"/>
          <w:szCs w:val="16"/>
          <w:color w:val="auto"/>
        </w:rPr>
      </w:pPr>
      <w:r>
        <w:rPr>
          <w:rFonts w:ascii="Arial" w:cs="Arial" w:eastAsia="Arial" w:hAnsi="Arial"/>
          <w:sz w:val="16"/>
          <w:szCs w:val="16"/>
          <w:color w:val="auto"/>
        </w:rPr>
        <w:t>Brand Support – We have designed a service to better insure that manufacturer brands are available in every ePrescribing platform available, and we have incorporated this to an overall program related to launch brands that include brand awareness messaging and financial messaging.</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We also continued to ramp up our marketing efforts:</w:t>
      </w:r>
    </w:p>
    <w:p>
      <w:pPr>
        <w:spacing w:after="0" w:line="225"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Spoke at Coupon and Co-Pay Off-set Strategies Conference.</w:t>
      </w:r>
    </w:p>
    <w:p>
      <w:pPr>
        <w:spacing w:after="0" w:line="225" w:lineRule="exact"/>
        <w:rPr>
          <w:rFonts w:ascii="Arial" w:cs="Arial" w:eastAsia="Arial" w:hAnsi="Arial"/>
          <w:sz w:val="18"/>
          <w:szCs w:val="18"/>
          <w:color w:val="auto"/>
        </w:rPr>
      </w:pPr>
    </w:p>
    <w:p>
      <w:pPr>
        <w:ind w:left="660" w:right="20" w:hanging="328"/>
        <w:spacing w:after="0" w:line="280"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Presented at multiple investor conferences in 2017, including: Noble Capital Markets’ 13th Annual Investor Conference, 29th annual Roth Conference, 7</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LD Micro Invitational and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Annual LD Micro Main Event.</w:t>
      </w:r>
    </w:p>
    <w:p>
      <w:pPr>
        <w:spacing w:after="0" w:line="44"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Lead kick-off panel, “A New Infrastructure for Healthcare,” at Distributed: Health Conference.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Sponsored CBI’s 4th Annual Bio/Pharma Forum on e-Rx and EHR as well as moderated a panel.</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With the growth of both the number of our pharmaceutical brands and our distribution network, we expect our distribution of financial messages will continue to increase substantially in 2018.</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Update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2018, we plan to expand our existing network and increase physician utilization of our partner networks. We continue to work individually with our partners based on their particular situation, focusing on improving workflow and increasing coupon utilization by providers that have access, obtain access for those prescribers that currently do not have financial messaging access, and increase overall revenue derived from each channel. In addition to revenue growth provided by new brands and new network partners, we believe there is significant revenue growth potential within our existing brands by better utilizing our existing partner networks.</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2015, we signed an agreement with Allscripts to become their exclusive provider of financial messaging and obtain access to their Touchworks EHR product that is used primarily by large ambulatory systems. Financial messaging activity commenced within the Touchworks platform late in Q1 2017 and ramped up gradually throughout the balance of the year. We expect activity to ramp more quickly in 2018, with significant growth generated by this channel in 2018. In addition, we launched five new EHRs in 2017 and we have three others launching in Q1 2018. We anticipate revenue from these channels to accelerate in 2018 and positively impact revenue.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 Updates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support our growth, we have migrated our platform to Oracle database software. Our system can manage up to one million rules and return the appropriate content within one second. This ultra-fast response time helps avoid delays and supports our expectation for accelerated revenue growth. To further improve the efficiency of our system, we are in the process of moving our software to Amazon Web Services.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developed our own proprietary brand messaging system designed to expand our ability to deliver key clinical messages in addition to financial support, and we plan to integrate this within EHRs that currently do not offer this valued product to their providers. We launched this system in 2017 with one channel partner and expect to launch it with additional partners in 2018.</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the lengthy sales cycle involved in creating this new financial messaging market, we remain excited about our core financial messaging business. We expect to significantly accelerate revenue growth in 2018, driven by the launch of additional channels, brands and products. We also expect our active network to continue to grow substantially in 2018.</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hanging="328"/>
        <w:spacing w:after="0" w:line="272"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color w:val="auto"/>
        </w:rPr>
        <w:t>Financial Messaging – Our integrated financial messaging platform is a revolutionary virtual “Patient Support Center” that allows doctors and staff to access a universe of sample vouchers, co-pay coupons and other patient support through their EMR and/or e-Prescribe systems. It allows them to search, print or electronically dispense directly to patients and a national network of pharmacies. Our platform eliminates the need for physicians to manage and store physical drug samples by offering a more convenient and efficient way to allocate, administer and track samples and co-pay savings for their patients. Today, nearly 60% of doctor offices ban or limit drug representatives and the samples they offer. While samples are still valuable, our solution address the fact that many healthcare systems and doctors are looking for an easier, more effective way to increase affordable access and adherence to their prescribed branded medications.</w:t>
      </w:r>
    </w:p>
    <w:p>
      <w:pPr>
        <w:spacing w:after="0" w:line="177" w:lineRule="exact"/>
        <w:rPr>
          <w:rFonts w:ascii="Arial" w:cs="Arial" w:eastAsia="Arial" w:hAnsi="Arial"/>
          <w:sz w:val="17"/>
          <w:szCs w:val="17"/>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Brand Messaging – Our brand messaging services include a variety of brand awareness and clinical messaging services that can be tailored to meet the needs of a brand. These messages can include brand awareness messages, reminder ads, clinical messages and unbranded messages that can be targeted by specialty, diagnostic code and other criteria. Brand messaging is highly complementary to our core financial messaging product. Historically, we have sold brand messaging based on specific products offered by our EHR partners, but we have developed our own proprietary brand messaging system and rolled this product out in 2017. We have also purchased all available 2018 inventory from Allscripts for its LogRx brand messaging product, as well as its Infoscripts messaging product. We believe brand messaging represents a significant growth opportunity for us.</w:t>
      </w:r>
    </w:p>
    <w:p>
      <w:pPr>
        <w:spacing w:after="0" w:line="189" w:lineRule="exact"/>
        <w:rPr>
          <w:rFonts w:ascii="Arial" w:cs="Arial" w:eastAsia="Arial" w:hAnsi="Arial"/>
          <w:sz w:val="18"/>
          <w:szCs w:val="18"/>
          <w:color w:val="auto"/>
        </w:rPr>
      </w:pPr>
    </w:p>
    <w:p>
      <w:pPr>
        <w:jc w:val="both"/>
        <w:ind w:left="660" w:hanging="328"/>
        <w:spacing w:after="0" w:line="293" w:lineRule="auto"/>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Brand Support – Our brand support is focused on educating and working with pharmaceutical manufacturers on identifying, formulating, and implementing new eRx media strategies for promoting their products. Our services include: 1) Drug File Integration - a service designed to better insure that manufacturers’ drugs are present in every ePrescribing platform available; 2) Sales Force Training – a service to educate the extended field sales force on this new integrated solution and what to look for within their client base to insure maximum exposure of their brands; and 3) Strategy Development – a service that assists pharmaceutical manufacturers in identifying and building a competitive strategy to take advantage of this new digital frontier. Currently, this activity results in less than 10% of our revenue, but represents a significant growth opportunity for us.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continue to extend our marketing efforts to build both brand and capabilities awareness in the market. As previously discussed, we continue to actively participate in industry and partner events such as ExL Pharma and the ACE – Allscripts Users Conference, as well as having taken a lead sponsor position in the CBInet eRx and EHR conferences in March of 2017.</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also continue to focus on the expansion of our strategic partnership with WPP, plc. We plan to continue to increase our marketing efforts with all of our strategic partners as we continue to promote our platform primarily through:</w:t>
      </w:r>
    </w:p>
    <w:p>
      <w:pPr>
        <w:spacing w:after="0" w:line="17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platform competes in the highly competitive pharmaceutical and healthcare digital marketing industry that is dominated by large well-known companies with established names, solid market niches, wide arrays of product offerings and marketing networks. Our financial messaging offerings compete for pharmaceutical budgets with a variety of other forms of advertising and promotion.</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Despite these overall competitors, we do not have major competition in our specific portion of the financial messaging market. We have a growing list of potential partners whom either have content that they want to deliver through our distribution engine and network, or have complementary technology and want to integrate our solution as a channel partner and thereby increase our reach to clinicians. The primary direct competitors in our space of the market are ConnectiveRx and Aptus Health. However, we believe our breadth of brands offered, extensive list of pharmaceutical clients, and the vast reach of our network give us a substantial advantage and allow us to achieve a dominant position in the marketplace.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2012, we were awarded a patent for our innovative solution (US Patent No. 8,341,015). This award was a result of our extensive research and development efforts. The awarded claims cover our ability to electronically process, display and distribute eligible prescription savings on the medications and therapies healthcare providers wish to prescribe for their patients.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use a nationally ranked intellectual property law firm to further expand and protect our intellectual property. We believe our current and expanding IP will allow us to continue being the leader in this rapidly growing space. We stand ready to prepare additional filings, as necessary, to protect our intellectual property on any forthcoming solutions that will further assist and support physicians, pharmacists and patients.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OPTIMIZERx and SampleMD are our licensed trademarks.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As of December 31, 2017, we had 23 full-time employees and one part-time employee, in addition to contracted programmers, as needed, throughout the year.</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Corporation, a Michigan corporation.</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2018, the Company’s Board of Directors amended the 2013 Equity Compensation Plan to increase the number of shares authorized under the plan to 5,500,000. At the same time, the Company granted 390,000 shares of restricted common stock to officers and options to purchase 320,000 shares of common stock with an exercise price of $1.40 to non-officers, both of which vest only if the Company achieves certain stretch revenue goals in either 2019 or 2020. In addition, the Company accelerated vesting to 2018 on 300,000 existing options that previously vested in 2021.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Relating to Business and Financial Condition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Because we have historically experienced losses, if we are unable to achieve profitability, our financial condition and company could suffer.</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Since the inception of our business we have historically incurred losses. While we have increased revenues significantly, we have not yet been able to achieve profitability due to significant investments in our growth and non-cash expenses. Our ability to achieve consistent profitability depends on our ability to generate sales through our technology platform and advertising model, while maintaining reasonable expense levels. If we do not achieve sustainable profitability, it may impact our ability to continue our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success depends on the expertise of our executive officers and certain other key technical personnel. It may be difficult to find sufficiently qualified individuals to replace management or other key technical personnel in the event of death, disability or resignation, thus frustrating our ability to implement our business plan, which could negatively affect our operating results.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If we are unable to engage and retain the necessary personnel, our business may be materially and adversely affected.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We currently work with many leading pharmaceutical companies, including Pfizer, Eli Lilly, Actavis, AstraZeneca, Alcon, Daiichi Sankyo, Novartis, Novo Nordisk, Valeant, Shire, and others. Our failure to retain existing customers or expand with new customers could negatively impact our business.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dependent on a concentrated group of customers.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revenues are concentrated in approximately 25 customers, primarily large pharmaceutical manufacturers and large advertising agencies. Loss of one or more of our larger customers could have a negative impact on our operating results. In each of 2016 and 2017, our largest customer in the year accounted for approximately 12% of revenues, although it was a different customer in each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Dr. First, Quest Diagnostics, Amazing Charts, and others. Such arrangements subject us to a number of risks, including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contract partners may experience financial, regulatory or operational difficulties, which may impair their ability to focus on and fulfill their contract obligations to us;</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Legal disputes or disagreements, including the ownership of intellectual property, may occur with one or more of our partners and may lead to lengthy and expensive litigation or arbitration;</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Significant changes in a partner’s business strategy may adversely affect a partner’s willingness or ability to satisfy obligations under any such arrangement; 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 partner could terminate the partnership arrangement, which could negatively impact our ability to sell our products and achieve revenues.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We will need to maintain these relationships as well as diversify them. The inability to do so could adversely impact our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agreements with electronic prescription platforms are subject to audit.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agreements with our electronic prescription platform partners provide for revenue sharing payments to the platform partners based on the revenue we generate through the platform. These payments are subject to audit by our partners, at their cost, and if there is a dispute as to the calculation, we may be liable for additional payments. If an underpayment is determined to be in excess of a certain amount, for example 10%, some agreements would require us to pay for the cost of the audit, as well.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completed the development and migration of our on-demand, rule based content delivery platform. 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 The costs of development of these enhancements may negatively impact our ability to achieve profitability.</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 to the labyrinth of regulations in healthcare space, state and federal, as well as political sensitivity of healthcare delivery, our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660" w:hanging="328"/>
        <w:spacing w:after="0" w:line="297" w:lineRule="auto"/>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Our portals face competition from numerous other companies, both in attracting users and in generating revenue from advertisers and sponsors. We compete for users with online services and websites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158"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Government regulation prohibiting the use of coupons by patients covered by federally funded health insurance programs;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252"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w:t>
      </w:r>
    </w:p>
    <w:p>
      <w:pPr>
        <w:spacing w:after="0" w:line="252"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 decrease in marketing expenditures by pharmaceutical or medical device companies, including as a result of governmental regulation or private initiatives that discourage or prohibit advertising or sponsorship activities by pharmaceutical or medical device companies; and</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Payor pressure to move to generic brands.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is subject to changing regulation of corporate governance and public disclosure.</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Because our common stock is publicly traded, we are subject to certain rules and regulations of federal and state entities charged with the protection of investors and the oversight of companies whose securities are publicly traded. These entities have continued to develop additional regulations and requirements in response to laws enacted by Congress, most notably the Sarbanes-Oxley Act of 2002. Complying with these new regulations has resulted in, and is likely to continue to result in, increased general &amp; administrative costs and a diversion of management time and attention from revenue generating and other business activities to compliance activities.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Risks Relating to Our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market price of our common stock is likely to be highly volatile and could fluctuate widely in price in response to various factors, many of which are beyond our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Our stock price is subject to a number of factors, including:</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Technological innovations or new products and services by us or our competitors;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Government regulation of our products and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establishment of partnerships with other healthcare companies;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Intellectual property disputes;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Additions or departures of key personnel;</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Sales of our common stock;</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integrate operations, technology, products and services;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ability to execute our business plan;</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results below or exceeding expectations;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Whether we achieve profits or not;</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Loss or addition of any strategic relationship;</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Industry developments;</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Economic and other external factors; and</w:t>
      </w:r>
    </w:p>
    <w:p>
      <w:pPr>
        <w:spacing w:after="0" w:line="252"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stock price may fluctuate widely as a result of any of the above. In addition, the securities markets have from time to time experienced significant price and volume fluctuations that are unrelated to the operating performance of particular companies. These market fluctuations may also materially and adversely affect the market price of our common stock.</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Because we are subject to the “Penny Stock” rules, the level of trading activity in our stock may be reduced.</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pacing w:after="0" w:line="3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1B. Unresolved Staff comments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Properties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Currently, we do not own any real estate. Our principal executive offices are located at 400 Water Street, Suite 200, Rochester, Michigan 48307.</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initially signed the lease for our current office space on December 1, 2011. That lease expired on November 30, 2016 and we signed a new lease covering the same space. The new lease is a three-year lease beginning December 1, 2016, with options for up to an additional 6 years. The rent is payable monthly at rates of $6,232, $6,308, and $6,384 per month for years 1, 2, and 3 of the lease, respectively. The monthly rates for the option years range from $6,384 per month to $6,688 per month for the option years 4 through 9 of the lease. If we fail to exercise our option for option years 4 and 5, a lease termination payment of $7,300 will be due at the end of the initial 3-year term.</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also have month to month leases on shared office spaces in Cambridge Massachusetts and Nashville Tennessee, with monthly lease payments of $2,700 and $1,360,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We believe that our properties are adequate for our current needs, but growth potential may require larger facilities due to anticipated addition of personnel.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We do not have any policies regarding investments in real estate, securities or other forms of property.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Legal Proceedings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current legal proceedings.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Market for Registrant’s Common Equity and Related Stockholder Matters and Issuer Purchases of Equity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tables set forth the range of high and low bid information for our common stock for the each of the periods indicated as reported by the OTCQB. These quotations reflect inter-dealer prices, without retail mark-up, mark-down or commission and may not necessarily represent actual transactions.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8680" w:type="dxa"/>
            <w:vAlign w:val="bottom"/>
          </w:tcPr>
          <w:p>
            <w:pPr>
              <w:ind w:left="4280"/>
              <w:spacing w:after="0"/>
              <w:rPr>
                <w:sz w:val="20"/>
                <w:szCs w:val="20"/>
                <w:color w:val="auto"/>
              </w:rPr>
            </w:pPr>
            <w:r>
              <w:rPr>
                <w:rFonts w:ascii="Arial" w:cs="Arial" w:eastAsia="Arial" w:hAnsi="Arial"/>
                <w:sz w:val="18"/>
                <w:szCs w:val="18"/>
                <w:color w:val="auto"/>
              </w:rPr>
              <w:t>Fiscal Year Ending December 31, 2016</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auto"/>
                <w:w w:val="97"/>
              </w:rPr>
              <w:t>High</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Low</w:t>
            </w:r>
          </w:p>
        </w:tc>
      </w:tr>
      <w:tr>
        <w:trPr>
          <w:trHeight w:val="237"/>
        </w:trPr>
        <w:tc>
          <w:tcPr>
            <w:tcW w:w="8700" w:type="dxa"/>
            <w:vAlign w:val="bottom"/>
            <w:gridSpan w:val="2"/>
          </w:tcPr>
          <w:p>
            <w:pPr>
              <w:spacing w:after="0"/>
              <w:rPr>
                <w:sz w:val="20"/>
                <w:szCs w:val="20"/>
                <w:color w:val="auto"/>
              </w:rPr>
            </w:pPr>
            <w:r>
              <w:rPr>
                <w:rFonts w:ascii="Arial" w:cs="Arial" w:eastAsia="Arial" w:hAnsi="Arial"/>
                <w:sz w:val="18"/>
                <w:szCs w:val="18"/>
                <w:color w:val="auto"/>
              </w:rPr>
              <w:t>Quarter Ended</w:t>
            </w:r>
          </w:p>
        </w:tc>
        <w:tc>
          <w:tcPr>
            <w:tcW w:w="900" w:type="dxa"/>
            <w:vAlign w:val="bottom"/>
            <w:gridSpan w:val="2"/>
          </w:tcPr>
          <w:p>
            <w:pPr>
              <w:jc w:val="center"/>
              <w:ind w:left="39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March 31, 2016</w:t>
            </w: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6"/>
              </w:rPr>
              <w:t>1.24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0.89</w:t>
            </w:r>
          </w:p>
        </w:tc>
        <w:tc>
          <w:tcPr>
            <w:tcW w:w="20" w:type="dxa"/>
            <w:vAlign w:val="bottom"/>
          </w:tcPr>
          <w:p>
            <w:pPr>
              <w:spacing w:after="0"/>
              <w:rPr>
                <w:sz w:val="17"/>
                <w:szCs w:val="17"/>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June 30, 2016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0.95</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September 30, 2016</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1.14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0.71</w:t>
            </w:r>
          </w:p>
        </w:tc>
      </w:tr>
      <w:tr>
        <w:trPr>
          <w:trHeight w:val="459"/>
        </w:trPr>
        <w:tc>
          <w:tcPr>
            <w:tcW w:w="20" w:type="dxa"/>
            <w:vAlign w:val="bottom"/>
          </w:tcPr>
          <w:p>
            <w:pPr>
              <w:spacing w:after="0"/>
              <w:rPr>
                <w:sz w:val="24"/>
                <w:szCs w:val="24"/>
                <w:color w:val="auto"/>
              </w:rPr>
            </w:pPr>
          </w:p>
        </w:tc>
        <w:tc>
          <w:tcPr>
            <w:tcW w:w="8680" w:type="dxa"/>
            <w:vAlign w:val="bottom"/>
          </w:tcPr>
          <w:p>
            <w:pPr>
              <w:ind w:left="4280"/>
              <w:spacing w:after="0"/>
              <w:rPr>
                <w:sz w:val="20"/>
                <w:szCs w:val="20"/>
                <w:color w:val="auto"/>
              </w:rPr>
            </w:pPr>
            <w:r>
              <w:rPr>
                <w:rFonts w:ascii="Arial" w:cs="Arial" w:eastAsia="Arial" w:hAnsi="Arial"/>
                <w:sz w:val="18"/>
                <w:szCs w:val="18"/>
                <w:color w:val="auto"/>
              </w:rPr>
              <w:t>Fiscal Year Ending December 31, 2017</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8"/>
        </w:trPr>
        <w:tc>
          <w:tcPr>
            <w:tcW w:w="20" w:type="dxa"/>
            <w:vAlign w:val="bottom"/>
          </w:tcPr>
          <w:p>
            <w:pPr>
              <w:spacing w:after="0"/>
              <w:rPr>
                <w:sz w:val="24"/>
                <w:szCs w:val="24"/>
                <w:color w:val="auto"/>
              </w:rPr>
            </w:pPr>
          </w:p>
        </w:tc>
        <w:tc>
          <w:tcPr>
            <w:tcW w:w="8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jc w:val="center"/>
              <w:ind w:left="250"/>
              <w:spacing w:after="0"/>
              <w:rPr>
                <w:sz w:val="20"/>
                <w:szCs w:val="20"/>
                <w:color w:val="auto"/>
              </w:rPr>
            </w:pPr>
            <w:r>
              <w:rPr>
                <w:rFonts w:ascii="Arial" w:cs="Arial" w:eastAsia="Arial" w:hAnsi="Arial"/>
                <w:sz w:val="18"/>
                <w:szCs w:val="18"/>
                <w:color w:val="auto"/>
                <w:w w:val="97"/>
              </w:rPr>
              <w:t>High</w:t>
            </w: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Low</w:t>
            </w:r>
          </w:p>
        </w:tc>
      </w:tr>
      <w:tr>
        <w:trPr>
          <w:trHeight w:val="237"/>
        </w:trPr>
        <w:tc>
          <w:tcPr>
            <w:tcW w:w="8700" w:type="dxa"/>
            <w:vAlign w:val="bottom"/>
            <w:gridSpan w:val="2"/>
          </w:tcPr>
          <w:p>
            <w:pPr>
              <w:spacing w:after="0"/>
              <w:rPr>
                <w:sz w:val="20"/>
                <w:szCs w:val="20"/>
                <w:color w:val="auto"/>
              </w:rPr>
            </w:pPr>
            <w:r>
              <w:rPr>
                <w:rFonts w:ascii="Arial" w:cs="Arial" w:eastAsia="Arial" w:hAnsi="Arial"/>
                <w:sz w:val="18"/>
                <w:szCs w:val="18"/>
                <w:color w:val="auto"/>
              </w:rPr>
              <w:t>Quarter Ended</w:t>
            </w:r>
          </w:p>
        </w:tc>
        <w:tc>
          <w:tcPr>
            <w:tcW w:w="900" w:type="dxa"/>
            <w:vAlign w:val="bottom"/>
            <w:gridSpan w:val="2"/>
          </w:tcPr>
          <w:p>
            <w:pPr>
              <w:jc w:val="center"/>
              <w:ind w:left="390"/>
              <w:spacing w:after="0"/>
              <w:rPr>
                <w:sz w:val="20"/>
                <w:szCs w:val="20"/>
                <w:color w:val="auto"/>
              </w:rPr>
            </w:pPr>
            <w:r>
              <w:rPr>
                <w:rFonts w:ascii="Arial" w:cs="Arial" w:eastAsia="Arial" w:hAnsi="Arial"/>
                <w:sz w:val="18"/>
                <w:szCs w:val="18"/>
                <w:color w:val="auto"/>
                <w:w w:val="99"/>
              </w:rPr>
              <w:t>$</w:t>
            </w:r>
          </w:p>
        </w:tc>
        <w:tc>
          <w:tcPr>
            <w:tcW w:w="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jc w:val="center"/>
              <w:ind w:right="17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6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March 31, 2017</w:t>
            </w:r>
          </w:p>
        </w:tc>
        <w:tc>
          <w:tcPr>
            <w:tcW w:w="120" w:type="dxa"/>
            <w:vAlign w:val="bottom"/>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3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w w:val="96"/>
              </w:rPr>
              <w:t>0.85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0.65</w:t>
            </w:r>
          </w:p>
        </w:tc>
        <w:tc>
          <w:tcPr>
            <w:tcW w:w="20" w:type="dxa"/>
            <w:vAlign w:val="bottom"/>
          </w:tcPr>
          <w:p>
            <w:pPr>
              <w:spacing w:after="0"/>
              <w:rPr>
                <w:sz w:val="17"/>
                <w:szCs w:val="17"/>
                <w:color w:val="auto"/>
              </w:rPr>
            </w:pP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June 30, 2017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1.10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0.63</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September 30, 2017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1.30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0.92</w:t>
            </w:r>
          </w:p>
        </w:tc>
      </w:tr>
      <w:tr>
        <w:trPr>
          <w:trHeight w:val="216"/>
        </w:trPr>
        <w:tc>
          <w:tcPr>
            <w:tcW w:w="8700" w:type="dxa"/>
            <w:vAlign w:val="bottom"/>
            <w:gridSpan w:val="2"/>
          </w:tcPr>
          <w:p>
            <w:pPr>
              <w:spacing w:after="0"/>
              <w:rPr>
                <w:sz w:val="20"/>
                <w:szCs w:val="20"/>
                <w:color w:val="auto"/>
              </w:rPr>
            </w:pPr>
            <w:r>
              <w:rPr>
                <w:rFonts w:ascii="Arial" w:cs="Arial" w:eastAsia="Arial" w:hAnsi="Arial"/>
                <w:sz w:val="18"/>
                <w:szCs w:val="18"/>
                <w:color w:val="auto"/>
              </w:rPr>
              <w:t>December 31, 2017</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1.15</w:t>
            </w:r>
          </w:p>
        </w:tc>
      </w:tr>
      <w:tr>
        <w:trPr>
          <w:trHeight w:val="230"/>
        </w:trPr>
        <w:tc>
          <w:tcPr>
            <w:tcW w:w="8700" w:type="dxa"/>
            <w:vAlign w:val="bottom"/>
            <w:gridSpan w:val="2"/>
          </w:tcPr>
          <w:p>
            <w:pPr>
              <w:spacing w:after="0"/>
              <w:rPr>
                <w:sz w:val="20"/>
                <w:szCs w:val="20"/>
                <w:color w:val="auto"/>
              </w:rPr>
            </w:pPr>
            <w:r>
              <w:rPr>
                <w:rFonts w:ascii="Arial" w:cs="Arial" w:eastAsia="Arial" w:hAnsi="Arial"/>
                <w:sz w:val="18"/>
                <w:szCs w:val="18"/>
                <w:color w:val="auto"/>
              </w:rPr>
              <w:t>Quarter Ended March 31, 2018 (through February 28, 2018)</w:t>
            </w:r>
          </w:p>
        </w:tc>
        <w:tc>
          <w:tcPr>
            <w:tcW w:w="900" w:type="dxa"/>
            <w:vAlign w:val="bottom"/>
            <w:gridSpan w:val="2"/>
          </w:tcPr>
          <w:p>
            <w:pPr>
              <w:jc w:val="right"/>
              <w:ind w:right="610"/>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1.66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1.12</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On February 28, 2018, the last sales price per share of our common stock was $1.58.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4" w:name="page15"/>
    <w:bookmarkEnd w:id="14"/>
    <w:p>
      <w:pPr>
        <w:jc w:val="both"/>
        <w:spacing w:after="0" w:line="259" w:lineRule="auto"/>
        <w:rPr>
          <w:sz w:val="20"/>
          <w:szCs w:val="20"/>
          <w:color w:val="auto"/>
        </w:rPr>
      </w:pPr>
      <w:r>
        <w:rPr>
          <w:rFonts w:ascii="Arial" w:cs="Arial" w:eastAsia="Arial" w:hAnsi="Arial"/>
          <w:sz w:val="18"/>
          <w:szCs w:val="18"/>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February 28, 2018, we had 29,318,081 shares of our common stock issued and outstanding, held by approximately 325 shareholders of record at our transfer agent, with approximately 1,200 additional shareholders holding our shares in street name.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252" w:lineRule="exact"/>
        <w:rPr>
          <w:rFonts w:ascii="Arial" w:cs="Arial" w:eastAsia="Arial" w:hAnsi="Arial"/>
          <w:sz w:val="18"/>
          <w:szCs w:val="18"/>
          <w:color w:val="auto"/>
        </w:rPr>
      </w:pPr>
    </w:p>
    <w:p>
      <w:pPr>
        <w:ind w:left="660" w:right="360" w:hanging="328"/>
        <w:spacing w:after="0" w:line="277"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initial Plan, we were able to issue up to an aggregate total of 1,500,000 incentive or non-qualified options to purchase our common stock, or stock awards. In March 2016, the Board expanded the number of shares issuable under the plan to 4,000,000 and in February 2018, the number of shares issuable was increased to 5,500,000.</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34"/>
        </w:trPr>
        <w:tc>
          <w:tcPr>
            <w:tcW w:w="550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as of December 31, 2017</w:t>
            </w:r>
          </w:p>
        </w:tc>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r>
      <w:tr>
        <w:trPr>
          <w:trHeight w:val="418"/>
        </w:trPr>
        <w:tc>
          <w:tcPr>
            <w:tcW w:w="5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Number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6"/>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0"/>
              </w:rPr>
              <w:t>of Securities to</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Number of Securities</w:t>
            </w:r>
          </w:p>
        </w:tc>
      </w:tr>
      <w:tr>
        <w:trPr>
          <w:trHeight w:val="216"/>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be issued upon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remaining available</w:t>
            </w:r>
          </w:p>
        </w:tc>
      </w:tr>
      <w:tr>
        <w:trPr>
          <w:trHeight w:val="216"/>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exercise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color w:val="auto"/>
                <w:w w:val="88"/>
              </w:rPr>
              <w:t>Weighted-average</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for future issuance</w:t>
            </w:r>
          </w:p>
        </w:tc>
      </w:tr>
      <w:tr>
        <w:trPr>
          <w:trHeight w:val="216"/>
        </w:trPr>
        <w:tc>
          <w:tcPr>
            <w:tcW w:w="5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91"/>
              </w:rPr>
              <w:t>of outstanding</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exercise price of</w:t>
            </w:r>
          </w:p>
        </w:tc>
        <w:tc>
          <w:tcPr>
            <w:tcW w:w="1700" w:type="dxa"/>
            <w:vAlign w:val="bottom"/>
          </w:tcPr>
          <w:p>
            <w:pPr>
              <w:jc w:val="center"/>
              <w:spacing w:after="0"/>
              <w:rPr>
                <w:sz w:val="20"/>
                <w:szCs w:val="20"/>
                <w:color w:val="auto"/>
              </w:rPr>
            </w:pPr>
            <w:r>
              <w:rPr>
                <w:rFonts w:ascii="Arial" w:cs="Arial" w:eastAsia="Arial" w:hAnsi="Arial"/>
                <w:sz w:val="18"/>
                <w:szCs w:val="18"/>
                <w:color w:val="auto"/>
                <w:w w:val="92"/>
              </w:rPr>
              <w:t>under equity</w:t>
            </w:r>
          </w:p>
        </w:tc>
      </w:tr>
      <w:tr>
        <w:trPr>
          <w:trHeight w:val="237"/>
        </w:trPr>
        <w:tc>
          <w:tcPr>
            <w:tcW w:w="5500" w:type="dxa"/>
            <w:vAlign w:val="bottom"/>
            <w:gridSpan w:val="2"/>
          </w:tcPr>
          <w:p>
            <w:pPr>
              <w:spacing w:after="0"/>
              <w:rPr>
                <w:sz w:val="20"/>
                <w:szCs w:val="20"/>
                <w:color w:val="auto"/>
              </w:rPr>
            </w:pPr>
            <w:r>
              <w:rPr>
                <w:rFonts w:ascii="Arial" w:cs="Arial" w:eastAsia="Arial" w:hAnsi="Arial"/>
                <w:sz w:val="18"/>
                <w:szCs w:val="18"/>
                <w:color w:val="auto"/>
              </w:rPr>
              <w:t>Equity Compensation Plans Not Approved by the Shareholders</w:t>
            </w:r>
          </w:p>
        </w:tc>
        <w:tc>
          <w:tcPr>
            <w:tcW w:w="19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options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center"/>
              <w:ind w:right="360"/>
              <w:spacing w:after="0"/>
              <w:rPr>
                <w:sz w:val="20"/>
                <w:szCs w:val="20"/>
                <w:color w:val="auto"/>
              </w:rPr>
            </w:pPr>
            <w:r>
              <w:rPr>
                <w:rFonts w:ascii="Arial" w:cs="Arial" w:eastAsia="Arial" w:hAnsi="Arial"/>
                <w:sz w:val="18"/>
                <w:szCs w:val="18"/>
                <w:color w:val="auto"/>
                <w:w w:val="90"/>
              </w:rPr>
              <w:t>outstanding options</w:t>
            </w:r>
          </w:p>
        </w:tc>
        <w:tc>
          <w:tcPr>
            <w:tcW w:w="1700" w:type="dxa"/>
            <w:vAlign w:val="bottom"/>
          </w:tcPr>
          <w:p>
            <w:pPr>
              <w:jc w:val="center"/>
              <w:spacing w:after="0"/>
              <w:rPr>
                <w:sz w:val="20"/>
                <w:szCs w:val="20"/>
                <w:color w:val="auto"/>
              </w:rPr>
            </w:pPr>
            <w:r>
              <w:rPr>
                <w:rFonts w:ascii="Arial" w:cs="Arial" w:eastAsia="Arial" w:hAnsi="Arial"/>
                <w:sz w:val="18"/>
                <w:szCs w:val="18"/>
                <w:color w:val="auto"/>
                <w:w w:val="89"/>
              </w:rPr>
              <w:t>compensation plans</w:t>
            </w:r>
          </w:p>
        </w:tc>
      </w:tr>
      <w:tr>
        <w:trPr>
          <w:trHeight w:val="202"/>
        </w:trPr>
        <w:tc>
          <w:tcPr>
            <w:tcW w:w="5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0"/>
              </w:rPr>
              <w:t>(a)</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680" w:type="dxa"/>
            <w:vAlign w:val="bottom"/>
            <w:tcBorders>
              <w:top w:val="single" w:sz="8" w:color="auto"/>
            </w:tcBorders>
          </w:tcPr>
          <w:p>
            <w:pPr>
              <w:jc w:val="center"/>
              <w:ind w:right="50"/>
              <w:spacing w:after="0" w:line="201" w:lineRule="exact"/>
              <w:rPr>
                <w:sz w:val="20"/>
                <w:szCs w:val="20"/>
                <w:color w:val="auto"/>
              </w:rPr>
            </w:pPr>
            <w:r>
              <w:rPr>
                <w:rFonts w:ascii="Arial" w:cs="Arial" w:eastAsia="Arial" w:hAnsi="Arial"/>
                <w:sz w:val="18"/>
                <w:szCs w:val="18"/>
                <w:color w:val="auto"/>
                <w:w w:val="99"/>
              </w:rPr>
              <w:t>(b)</w:t>
            </w:r>
          </w:p>
        </w:tc>
        <w:tc>
          <w:tcPr>
            <w:tcW w:w="220" w:type="dxa"/>
            <w:vAlign w:val="bottom"/>
          </w:tcPr>
          <w:p>
            <w:pPr>
              <w:spacing w:after="0"/>
              <w:rPr>
                <w:sz w:val="17"/>
                <w:szCs w:val="17"/>
                <w:color w:val="auto"/>
              </w:rPr>
            </w:pPr>
          </w:p>
        </w:tc>
        <w:tc>
          <w:tcPr>
            <w:tcW w:w="1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(c)</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2013 Equity Compensation Plan</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4,106,250</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1.04</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w:t>
            </w:r>
          </w:p>
        </w:tc>
      </w:tr>
      <w:tr>
        <w:trPr>
          <w:trHeight w:val="216"/>
        </w:trPr>
        <w:tc>
          <w:tcPr>
            <w:tcW w:w="5500" w:type="dxa"/>
            <w:vAlign w:val="bottom"/>
            <w:gridSpan w:val="2"/>
          </w:tcPr>
          <w:p>
            <w:pPr>
              <w:spacing w:after="0"/>
              <w:rPr>
                <w:sz w:val="20"/>
                <w:szCs w:val="20"/>
                <w:color w:val="auto"/>
              </w:rPr>
            </w:pPr>
            <w:r>
              <w:rPr>
                <w:rFonts w:ascii="Arial" w:cs="Arial" w:eastAsia="Arial" w:hAnsi="Arial"/>
                <w:sz w:val="18"/>
                <w:szCs w:val="18"/>
                <w:color w:val="auto"/>
              </w:rPr>
              <w:t>Other Equity Compensation (warrants)</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1,044,583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1.11</w:t>
            </w:r>
          </w:p>
        </w:tc>
        <w:tc>
          <w:tcPr>
            <w:tcW w:w="1700" w:type="dxa"/>
            <w:vAlign w:val="bottom"/>
          </w:tcPr>
          <w:p>
            <w:pPr>
              <w:jc w:val="center"/>
              <w:spacing w:after="0"/>
              <w:rPr>
                <w:sz w:val="20"/>
                <w:szCs w:val="20"/>
                <w:color w:val="auto"/>
              </w:rPr>
            </w:pPr>
            <w:r>
              <w:rPr>
                <w:rFonts w:ascii="Arial" w:cs="Arial" w:eastAsia="Arial" w:hAnsi="Arial"/>
                <w:sz w:val="18"/>
                <w:szCs w:val="18"/>
                <w:color w:val="auto"/>
              </w:rPr>
              <w:t>N/A</w:t>
            </w:r>
          </w:p>
        </w:tc>
      </w:tr>
      <w:tr>
        <w:trPr>
          <w:trHeight w:val="230"/>
        </w:trPr>
        <w:tc>
          <w:tcPr>
            <w:tcW w:w="5500" w:type="dxa"/>
            <w:vAlign w:val="bottom"/>
            <w:gridSpan w:val="2"/>
          </w:tcPr>
          <w:p>
            <w:pPr>
              <w:spacing w:after="0"/>
              <w:rPr>
                <w:sz w:val="20"/>
                <w:szCs w:val="20"/>
                <w:color w:val="auto"/>
              </w:rPr>
            </w:pPr>
            <w:r>
              <w:rPr>
                <w:rFonts w:ascii="Arial" w:cs="Arial" w:eastAsia="Arial" w:hAnsi="Arial"/>
                <w:sz w:val="18"/>
                <w:szCs w:val="18"/>
                <w:color w:val="auto"/>
              </w:rPr>
              <w:t>Total</w:t>
            </w:r>
          </w:p>
        </w:tc>
        <w:tc>
          <w:tcPr>
            <w:tcW w:w="1960" w:type="dxa"/>
            <w:vAlign w:val="bottom"/>
            <w:gridSpan w:val="2"/>
          </w:tcPr>
          <w:p>
            <w:pPr>
              <w:jc w:val="right"/>
              <w:ind w:right="120"/>
              <w:spacing w:after="0"/>
              <w:rPr>
                <w:sz w:val="20"/>
                <w:szCs w:val="20"/>
                <w:color w:val="auto"/>
              </w:rPr>
            </w:pPr>
            <w:r>
              <w:rPr>
                <w:rFonts w:ascii="Arial" w:cs="Arial" w:eastAsia="Arial" w:hAnsi="Arial"/>
                <w:sz w:val="18"/>
                <w:szCs w:val="18"/>
                <w:color w:val="auto"/>
              </w:rPr>
              <w:t>5,150,833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90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1700" w:type="dxa"/>
            <w:vAlign w:val="bottom"/>
          </w:tcPr>
          <w:p>
            <w:pPr>
              <w:jc w:val="center"/>
              <w:spacing w:after="0"/>
              <w:rPr>
                <w:sz w:val="20"/>
                <w:szCs w:val="20"/>
                <w:color w:val="auto"/>
              </w:rPr>
            </w:pPr>
            <w:r>
              <w:rPr>
                <w:rFonts w:ascii="Arial" w:cs="Arial" w:eastAsia="Arial" w:hAnsi="Arial"/>
                <w:sz w:val="18"/>
                <w:szCs w:val="18"/>
                <w:color w:val="auto"/>
                <w:w w:val="90"/>
              </w:rPr>
              <w:t>(1)</w:t>
            </w:r>
          </w:p>
        </w:tc>
      </w:tr>
    </w:tbl>
    <w:p>
      <w:pPr>
        <w:spacing w:after="0" w:line="202" w:lineRule="exact"/>
        <w:rPr>
          <w:sz w:val="20"/>
          <w:szCs w:val="20"/>
          <w:color w:val="auto"/>
        </w:rPr>
      </w:pPr>
    </w:p>
    <w:p>
      <w:pPr>
        <w:ind w:left="340" w:hanging="332"/>
        <w:spacing w:after="0" w:line="277" w:lineRule="auto"/>
        <w:tabs>
          <w:tab w:leader="none" w:pos="34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had no remaining shares available to grant under the Plan at December 31, 2017. In 2018, we increased our available shares under the Plan to 5,500,000 shares.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information set forth below relates to our issuances of securities without registration under the Securities Act of 1933 during the reporting period which were not previously included in a Quarterly Report on Form 10-Q or Current Report on Form 8-K.</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December 2017, we issued 18,750 shares of restricted common stock to our outside Directors as part of our director compensation package for services rendered in Q4 2017.</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February 2018, we granted 390,000 shares of common stock to officers and options to purchase 320,000 shares of common stock with an exercise price of $1.40 to non-officers, both of which vest only if we achieve certain stretch revenue goals in either 2019 or 2020.</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Selected Financial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required under Regulation S-K for “smaller reporting companies”</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Item 7.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 for the Years Ended December 31, 2017 and 2016</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net revenue for the year ended December 31, 2017 was approximately $12.1 million, an increase of 56% from the year ended December 31, 2016. This increase resulted from increased pharmaceutical brands, an increased distribution network, and strong growth in our brand messaging product. We expect continued strong revenue growth in 2018 as a result of the foundations laid in 2016 and 2017.</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the pharmaceutical industry is dominated by large companies with multiple brands, our revenue is concentrated in a relatively small number of companies. We have approximately 25 pharmaceutical companies as customers. We have focused our efforts on expanding both our customer base and our product offerings and are becoming less dependent on any one customer. In each of 2016 and 2017, we only had one pharmaceutical manufacturer that individually accounted for greater than 10% of our revenues, and that was a different customer in each year.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Sales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total cost of sales, composed primarily of revenue share expense, increased in the year ended December 31, 2017, from the year ended December 31, 2016 primarily due to the increase in revenues. In addition, revenue share expense as a percentage of revenue in 2017 increased from 2016 from approximately 44% in the year ended December 31, 2016 to approximately 51% in the year ended December 31, 2017.</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increase in revenue share expense as a percentage of revenue resulted primarily from product mix, and specifically from the substantial increase in our brand messaging revenue that has a lower margin and higher costs relative to our core financial messaging product. We expect revenue share expense as a percentage of revenue in 2018 to decline from 2017 levels. We have signed revenue share agreements with newer partners that contain lower revenue share percentages, and as revenue from those new channels increases, we expect it to help lower our overall percentage. We also expect continued growth in our brand messaging product, and this will enable us to spread the fixed costs associated with this type of messaging over a larger base and result in a lower overall revenue share percentage.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Margin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gross margin, which is simply the difference between our revenues and our cost of sales, discussed above, increased substantially from 2016 to 2017 as a result of the increased revenue. However, our gross margin percentage decreased from approximately 56% in 2016 to 49% in 2017 for the reasons discussed above in the cost of sales section. We are focused on improving our margins in 2018 and have a target of increasing our margin to 55%.</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Operating expenses increased to approximately $8.1 million for the year ended December 31, 2017, from approximately $5.9 million for the year ended December 31, 2016, an increase of approximately 36%. The detail by major category is reflected in the table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2320" w:type="dxa"/>
            <w:vAlign w:val="bottom"/>
            <w:tcBorders>
              <w:bottom w:val="single" w:sz="8" w:color="auto"/>
            </w:tcBorders>
            <w:gridSpan w:val="4"/>
          </w:tcPr>
          <w:p>
            <w:pPr>
              <w:jc w:val="right"/>
              <w:ind w:right="210"/>
              <w:spacing w:after="0"/>
              <w:rPr>
                <w:sz w:val="20"/>
                <w:szCs w:val="20"/>
                <w:color w:val="auto"/>
              </w:rPr>
            </w:pPr>
            <w:r>
              <w:rPr>
                <w:rFonts w:ascii="Arial" w:cs="Arial" w:eastAsia="Arial" w:hAnsi="Arial"/>
                <w:sz w:val="18"/>
                <w:szCs w:val="18"/>
                <w:color w:val="auto"/>
                <w:w w:val="92"/>
              </w:rPr>
              <w:t>Years Ended December 31</w:t>
            </w: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32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Salaries, Wages and Benefits</w:t>
            </w:r>
          </w:p>
        </w:tc>
        <w:tc>
          <w:tcPr>
            <w:tcW w:w="3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4,151,740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2,919,809</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Professional Fees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324,117</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576,995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Board Compensation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89,000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Investor Relations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126,548</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127,082</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Consultants</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356,220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213,535</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Advertising and Promotion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207,062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296,997</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324,551</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235,284</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Development and Maintenance</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1,009,022</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398,396</w:t>
            </w:r>
          </w:p>
        </w:tc>
        <w:tc>
          <w:tcPr>
            <w:tcW w:w="0" w:type="dxa"/>
            <w:vAlign w:val="bottom"/>
          </w:tcPr>
          <w:p>
            <w:pPr>
              <w:spacing w:after="0"/>
              <w:rPr>
                <w:sz w:val="1"/>
                <w:szCs w:val="1"/>
                <w:color w:val="auto"/>
              </w:rPr>
            </w:pPr>
          </w:p>
        </w:tc>
      </w:tr>
      <w:tr>
        <w:trPr>
          <w:trHeight w:val="216"/>
        </w:trPr>
        <w:tc>
          <w:tcPr>
            <w:tcW w:w="5540" w:type="dxa"/>
            <w:vAlign w:val="bottom"/>
          </w:tcPr>
          <w:p>
            <w:pPr>
              <w:spacing w:after="0"/>
              <w:rPr>
                <w:sz w:val="20"/>
                <w:szCs w:val="20"/>
                <w:color w:val="auto"/>
              </w:rPr>
            </w:pPr>
            <w:r>
              <w:rPr>
                <w:rFonts w:ascii="Arial" w:cs="Arial" w:eastAsia="Arial" w:hAnsi="Arial"/>
                <w:sz w:val="18"/>
                <w:szCs w:val="18"/>
                <w:color w:val="auto"/>
              </w:rPr>
              <w:t>Office, Facility and Other</w:t>
            </w:r>
          </w:p>
        </w:tc>
        <w:tc>
          <w:tcPr>
            <w:tcW w:w="3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297,700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214,776</w:t>
            </w:r>
          </w:p>
        </w:tc>
        <w:tc>
          <w:tcPr>
            <w:tcW w:w="0" w:type="dxa"/>
            <w:vAlign w:val="bottom"/>
          </w:tcPr>
          <w:p>
            <w:pPr>
              <w:spacing w:after="0"/>
              <w:rPr>
                <w:sz w:val="1"/>
                <w:szCs w:val="1"/>
                <w:color w:val="auto"/>
              </w:rPr>
            </w:pPr>
          </w:p>
        </w:tc>
      </w:tr>
      <w:tr>
        <w:trPr>
          <w:trHeight w:val="244"/>
        </w:trPr>
        <w:tc>
          <w:tcPr>
            <w:tcW w:w="5540" w:type="dxa"/>
            <w:vAlign w:val="bottom"/>
          </w:tcPr>
          <w:p>
            <w:pPr>
              <w:spacing w:after="0"/>
              <w:rPr>
                <w:sz w:val="20"/>
                <w:szCs w:val="20"/>
                <w:color w:val="auto"/>
              </w:rPr>
            </w:pPr>
            <w:r>
              <w:rPr>
                <w:rFonts w:ascii="Arial" w:cs="Arial" w:eastAsia="Arial" w:hAnsi="Arial"/>
                <w:sz w:val="18"/>
                <w:szCs w:val="18"/>
                <w:color w:val="auto"/>
              </w:rPr>
              <w:t>Travel</w:t>
            </w:r>
          </w:p>
        </w:tc>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294,425</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279,403</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5540" w:type="dxa"/>
            <w:vAlign w:val="bottom"/>
          </w:tcPr>
          <w:p>
            <w:pPr>
              <w:ind w:left="140"/>
              <w:spacing w:after="0"/>
              <w:rPr>
                <w:sz w:val="20"/>
                <w:szCs w:val="20"/>
                <w:color w:val="auto"/>
              </w:rPr>
            </w:pPr>
            <w:r>
              <w:rPr>
                <w:rFonts w:ascii="Arial" w:cs="Arial" w:eastAsia="Arial" w:hAnsi="Arial"/>
                <w:sz w:val="18"/>
                <w:szCs w:val="18"/>
                <w:color w:val="auto"/>
              </w:rPr>
              <w:t>Subtotal</w:t>
            </w: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7,180,385</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5,312,277</w:t>
            </w:r>
          </w:p>
        </w:tc>
        <w:tc>
          <w:tcPr>
            <w:tcW w:w="0" w:type="dxa"/>
            <w:vAlign w:val="bottom"/>
          </w:tcPr>
          <w:p>
            <w:pPr>
              <w:spacing w:after="0"/>
              <w:rPr>
                <w:sz w:val="1"/>
                <w:szCs w:val="1"/>
                <w:color w:val="auto"/>
              </w:rPr>
            </w:pPr>
          </w:p>
        </w:tc>
      </w:tr>
      <w:tr>
        <w:trPr>
          <w:trHeight w:val="418"/>
        </w:trPr>
        <w:tc>
          <w:tcPr>
            <w:tcW w:w="5540" w:type="dxa"/>
            <w:vAlign w:val="bottom"/>
          </w:tcPr>
          <w:p>
            <w:pPr>
              <w:spacing w:after="0"/>
              <w:rPr>
                <w:sz w:val="20"/>
                <w:szCs w:val="20"/>
                <w:color w:val="auto"/>
              </w:rPr>
            </w:pPr>
            <w:r>
              <w:rPr>
                <w:rFonts w:ascii="Arial" w:cs="Arial" w:eastAsia="Arial" w:hAnsi="Arial"/>
                <w:sz w:val="18"/>
                <w:szCs w:val="18"/>
                <w:color w:val="auto"/>
              </w:rPr>
              <w:t>Stock-based compensation</w:t>
            </w:r>
          </w:p>
        </w:tc>
        <w:tc>
          <w:tcPr>
            <w:tcW w:w="3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902,389</w:t>
            </w: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559,301</w:t>
            </w:r>
          </w:p>
        </w:tc>
        <w:tc>
          <w:tcPr>
            <w:tcW w:w="0" w:type="dxa"/>
            <w:vAlign w:val="bottom"/>
          </w:tcPr>
          <w:p>
            <w:pPr>
              <w:spacing w:after="0"/>
              <w:rPr>
                <w:sz w:val="1"/>
                <w:szCs w:val="1"/>
                <w:color w:val="auto"/>
              </w:rPr>
            </w:pPr>
          </w:p>
        </w:tc>
      </w:tr>
      <w:tr>
        <w:trPr>
          <w:trHeight w:val="244"/>
        </w:trPr>
        <w:tc>
          <w:tcPr>
            <w:tcW w:w="5540" w:type="dxa"/>
            <w:vAlign w:val="bottom"/>
          </w:tcPr>
          <w:p>
            <w:pPr>
              <w:spacing w:after="0"/>
              <w:rPr>
                <w:sz w:val="20"/>
                <w:szCs w:val="20"/>
                <w:color w:val="auto"/>
              </w:rPr>
            </w:pPr>
            <w:r>
              <w:rPr>
                <w:rFonts w:ascii="Arial" w:cs="Arial" w:eastAsia="Arial" w:hAnsi="Arial"/>
                <w:sz w:val="18"/>
                <w:szCs w:val="18"/>
                <w:color w:val="auto"/>
              </w:rPr>
              <w:t>Lawsuit settlement</w:t>
            </w:r>
          </w:p>
        </w:tc>
        <w:tc>
          <w:tcPr>
            <w:tcW w:w="32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7"/>
        </w:trPr>
        <w:tc>
          <w:tcPr>
            <w:tcW w:w="5540" w:type="dxa"/>
            <w:vAlign w:val="bottom"/>
            <w:vMerge w:val="restart"/>
          </w:tcPr>
          <w:p>
            <w:pPr>
              <w:spacing w:after="0"/>
              <w:rPr>
                <w:sz w:val="20"/>
                <w:szCs w:val="20"/>
                <w:color w:val="auto"/>
              </w:rPr>
            </w:pPr>
            <w:r>
              <w:rPr>
                <w:rFonts w:ascii="Arial" w:cs="Arial" w:eastAsia="Arial" w:hAnsi="Arial"/>
                <w:sz w:val="18"/>
                <w:szCs w:val="18"/>
                <w:color w:val="auto"/>
              </w:rPr>
              <w:t>Total Operating Expense</w:t>
            </w:r>
          </w:p>
        </w:tc>
        <w:tc>
          <w:tcPr>
            <w:tcW w:w="32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4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8,082,774</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5,921,578</w:t>
            </w: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main reasons for the overall increase in operating expenses in 2017 was our focus on staffing and scaling our company to focus on, and be able to support, accelerated revenue growth.</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Within the operating expenses, there were a variety of increases, the largest of which was in salaries, wages and benefits as a result of additional staff added in 2016 and 2017, including related benefits. During 2017, we hired a president and two new vice presidents of sales, as well as additional supporting positions. Incentive compensation also increased in 2017, primarily as a result of the increase in revenues. We also enhanced our sales commission program and expanded it to include account managers to greater incentivize those people interfacing with the customers. We expect our compensation expense to increase in 2018, but at a much lower rate than in 2017.</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Professional fees decreased due to the resolution of our last remaining piece of litigation in 2017. In 2018, we expect professional fees to remain at 2017 levels or even slightly decrease.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Expenses related to development, management, and maintenance of our technology increased in 2017 as a result of improvements to our system as well as costs associated with the start of migrating our technology to Amazon Web Services. We expect these costs to decrease significantly in 2018 due to the investments made in 2017.</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Depreciation and amortization increased in 2017 from the 2016 levels primarily because of the assets capitalized in 2016 and 2017. Other increases in operating expenses generally increased due to the increased staffing levels.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finished the year ended December 31, 2017 with a loss of approximately $2.1 million, as compared to a loss of approximately $1.5 million during the year ended December 31, 2016. The reasons for specific components are discussed above. Overall, we had an increase in revenue and gross margin offset by increased operating expenses to support future growth. In addition, the loss in both periods included significant noncash items. We had approximately $800,000 in noncash expense in 2016 and approximately $1.45 million in noncash expense in 2017.</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3620" w:type="dxa"/>
            <w:vAlign w:val="bottom"/>
          </w:tcPr>
          <w:p>
            <w:pPr>
              <w:spacing w:after="0"/>
              <w:rPr>
                <w:sz w:val="20"/>
                <w:szCs w:val="20"/>
                <w:color w:val="auto"/>
              </w:rPr>
            </w:pPr>
            <w:r>
              <w:rPr>
                <w:rFonts w:ascii="Arial" w:cs="Arial" w:eastAsia="Arial" w:hAnsi="Arial"/>
                <w:sz w:val="18"/>
                <w:szCs w:val="18"/>
                <w:b w:val="1"/>
                <w:bCs w:val="1"/>
                <w:color w:val="auto"/>
              </w:rPr>
              <w:t>Quarterly Financial Information</w:t>
            </w:r>
          </w:p>
        </w:tc>
        <w:tc>
          <w:tcPr>
            <w:tcW w:w="10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6400" w:type="dxa"/>
            <w:vAlign w:val="bottom"/>
            <w:gridSpan w:val="7"/>
          </w:tcPr>
          <w:p>
            <w:pPr>
              <w:spacing w:after="0"/>
              <w:rPr>
                <w:sz w:val="20"/>
                <w:szCs w:val="20"/>
                <w:color w:val="auto"/>
              </w:rPr>
            </w:pPr>
            <w:r>
              <w:rPr>
                <w:rFonts w:ascii="Arial" w:cs="Arial" w:eastAsia="Arial" w:hAnsi="Arial"/>
                <w:sz w:val="18"/>
                <w:szCs w:val="18"/>
                <w:color w:val="auto"/>
                <w:w w:val="92"/>
              </w:rPr>
              <w:t>Following is a table of our quarterly operating results for 2017 for information purposes.</w:t>
            </w: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8"/>
        </w:trPr>
        <w:tc>
          <w:tcPr>
            <w:tcW w:w="36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First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ind w:left="20"/>
              <w:spacing w:after="0"/>
              <w:rPr>
                <w:sz w:val="20"/>
                <w:szCs w:val="20"/>
                <w:color w:val="auto"/>
              </w:rPr>
            </w:pPr>
            <w:r>
              <w:rPr>
                <w:rFonts w:ascii="Arial" w:cs="Arial" w:eastAsia="Arial" w:hAnsi="Arial"/>
                <w:sz w:val="18"/>
                <w:szCs w:val="18"/>
                <w:color w:val="auto"/>
              </w:rPr>
              <w:t>Second</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color w:val="auto"/>
              </w:rPr>
              <w:t>Third</w:t>
            </w:r>
          </w:p>
        </w:tc>
        <w:tc>
          <w:tcPr>
            <w:tcW w:w="200" w:type="dxa"/>
            <w:vAlign w:val="bottom"/>
          </w:tcPr>
          <w:p>
            <w:pPr>
              <w:spacing w:after="0"/>
              <w:rPr>
                <w:sz w:val="24"/>
                <w:szCs w:val="24"/>
                <w:color w:val="auto"/>
              </w:rPr>
            </w:pPr>
          </w:p>
        </w:tc>
        <w:tc>
          <w:tcPr>
            <w:tcW w:w="1160" w:type="dxa"/>
            <w:vAlign w:val="bottom"/>
            <w:gridSpan w:val="2"/>
          </w:tcPr>
          <w:p>
            <w:pPr>
              <w:jc w:val="center"/>
              <w:ind w:right="400"/>
              <w:spacing w:after="0"/>
              <w:rPr>
                <w:sz w:val="20"/>
                <w:szCs w:val="20"/>
                <w:color w:val="auto"/>
              </w:rPr>
            </w:pPr>
            <w:r>
              <w:rPr>
                <w:rFonts w:ascii="Arial" w:cs="Arial" w:eastAsia="Arial" w:hAnsi="Arial"/>
                <w:sz w:val="18"/>
                <w:szCs w:val="18"/>
                <w:color w:val="auto"/>
                <w:w w:val="92"/>
              </w:rPr>
              <w:t>Fourth</w:t>
            </w:r>
          </w:p>
        </w:tc>
        <w:tc>
          <w:tcPr>
            <w:tcW w:w="200" w:type="dxa"/>
            <w:vAlign w:val="bottom"/>
          </w:tcPr>
          <w:p>
            <w:pPr>
              <w:spacing w:after="0"/>
              <w:rPr>
                <w:sz w:val="24"/>
                <w:szCs w:val="24"/>
                <w:color w:val="auto"/>
              </w:rPr>
            </w:pPr>
          </w:p>
        </w:tc>
        <w:tc>
          <w:tcPr>
            <w:tcW w:w="1000" w:type="dxa"/>
            <w:vAlign w:val="bottom"/>
            <w:gridSpan w:val="2"/>
          </w:tcPr>
          <w:p>
            <w:pPr>
              <w:jc w:val="right"/>
              <w:ind w:right="460"/>
              <w:spacing w:after="0"/>
              <w:rPr>
                <w:sz w:val="20"/>
                <w:szCs w:val="20"/>
                <w:color w:val="auto"/>
              </w:rPr>
            </w:pPr>
            <w:r>
              <w:rPr>
                <w:rFonts w:ascii="Arial" w:cs="Arial" w:eastAsia="Arial" w:hAnsi="Arial"/>
                <w:sz w:val="18"/>
                <w:szCs w:val="18"/>
                <w:color w:val="auto"/>
              </w:rPr>
              <w:t>Total</w:t>
            </w:r>
          </w:p>
        </w:tc>
      </w:tr>
      <w:tr>
        <w:trPr>
          <w:trHeight w:val="237"/>
        </w:trPr>
        <w:tc>
          <w:tcPr>
            <w:tcW w:w="3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color w:val="auto"/>
                <w:w w:val="88"/>
              </w:rPr>
              <w:t>Quarter</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Quarter</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Quarter</w:t>
            </w:r>
          </w:p>
        </w:tc>
        <w:tc>
          <w:tcPr>
            <w:tcW w:w="2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8"/>
              </w:rPr>
              <w:t>Quarter</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Year</w:t>
            </w:r>
          </w:p>
        </w:tc>
        <w:tc>
          <w:tcPr>
            <w:tcW w:w="60" w:type="dxa"/>
            <w:vAlign w:val="bottom"/>
          </w:tcPr>
          <w:p>
            <w:pPr>
              <w:spacing w:after="0"/>
              <w:rPr>
                <w:sz w:val="20"/>
                <w:szCs w:val="20"/>
                <w:color w:val="auto"/>
              </w:rPr>
            </w:pPr>
          </w:p>
        </w:tc>
      </w:tr>
      <w:tr>
        <w:trPr>
          <w:trHeight w:val="648"/>
        </w:trPr>
        <w:tc>
          <w:tcPr>
            <w:tcW w:w="3620" w:type="dxa"/>
            <w:vAlign w:val="bottom"/>
          </w:tcPr>
          <w:p>
            <w:pPr>
              <w:spacing w:after="0"/>
              <w:rPr>
                <w:sz w:val="20"/>
                <w:szCs w:val="20"/>
                <w:color w:val="auto"/>
              </w:rPr>
            </w:pPr>
            <w:r>
              <w:rPr>
                <w:rFonts w:ascii="Arial" w:cs="Arial" w:eastAsia="Arial" w:hAnsi="Arial"/>
                <w:sz w:val="18"/>
                <w:szCs w:val="18"/>
                <w:color w:val="auto"/>
              </w:rPr>
              <w:t>Revenues</w:t>
            </w:r>
          </w:p>
        </w:tc>
        <w:tc>
          <w:tcPr>
            <w:tcW w:w="12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2,152,073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2,865,823</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3,102,607</w:t>
            </w:r>
          </w:p>
        </w:tc>
        <w:tc>
          <w:tcPr>
            <w:tcW w:w="200" w:type="dxa"/>
            <w:vAlign w:val="bottom"/>
          </w:tcPr>
          <w:p>
            <w:pPr>
              <w:spacing w:after="0"/>
              <w:rPr>
                <w:sz w:val="24"/>
                <w:szCs w:val="24"/>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4,006,919</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12,127,422</w:t>
            </w:r>
          </w:p>
        </w:tc>
        <w:tc>
          <w:tcPr>
            <w:tcW w:w="60" w:type="dxa"/>
            <w:vAlign w:val="bottom"/>
          </w:tcPr>
          <w:p>
            <w:pPr>
              <w:spacing w:after="0"/>
              <w:rPr>
                <w:sz w:val="24"/>
                <w:szCs w:val="24"/>
                <w:color w:val="auto"/>
              </w:rPr>
            </w:pPr>
          </w:p>
        </w:tc>
      </w:tr>
      <w:tr>
        <w:trPr>
          <w:trHeight w:val="446"/>
        </w:trPr>
        <w:tc>
          <w:tcPr>
            <w:tcW w:w="3620" w:type="dxa"/>
            <w:vAlign w:val="bottom"/>
          </w:tcPr>
          <w:p>
            <w:pPr>
              <w:spacing w:after="0"/>
              <w:rPr>
                <w:sz w:val="20"/>
                <w:szCs w:val="20"/>
                <w:color w:val="auto"/>
              </w:rPr>
            </w:pPr>
            <w:r>
              <w:rPr>
                <w:rFonts w:ascii="Arial" w:cs="Arial" w:eastAsia="Arial" w:hAnsi="Arial"/>
                <w:sz w:val="18"/>
                <w:szCs w:val="18"/>
                <w:color w:val="auto"/>
              </w:rPr>
              <w:t>Revenue Share Expense</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1,381,733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1,605,534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1,703,676</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1,483,671</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6,174,614</w:t>
            </w:r>
          </w:p>
        </w:tc>
        <w:tc>
          <w:tcPr>
            <w:tcW w:w="60" w:type="dxa"/>
            <w:vAlign w:val="bottom"/>
          </w:tcPr>
          <w:p>
            <w:pPr>
              <w:spacing w:after="0"/>
              <w:rPr>
                <w:sz w:val="24"/>
                <w:szCs w:val="24"/>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Gross Profit</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770,340</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1,260,289</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1,398,931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2,523,248</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5,952,808</w:t>
            </w:r>
          </w:p>
        </w:tc>
        <w:tc>
          <w:tcPr>
            <w:tcW w:w="60" w:type="dxa"/>
            <w:vAlign w:val="bottom"/>
          </w:tcPr>
          <w:p>
            <w:pPr>
              <w:spacing w:after="0"/>
              <w:rPr>
                <w:sz w:val="24"/>
                <w:szCs w:val="24"/>
                <w:color w:val="auto"/>
              </w:rPr>
            </w:pPr>
          </w:p>
        </w:tc>
      </w:tr>
      <w:tr>
        <w:trPr>
          <w:trHeight w:val="446"/>
        </w:trPr>
        <w:tc>
          <w:tcPr>
            <w:tcW w:w="3620" w:type="dxa"/>
            <w:vAlign w:val="bottom"/>
          </w:tcPr>
          <w:p>
            <w:pPr>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1,660,778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1,630,853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2,028,589</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2,762,554</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8,082,774</w:t>
            </w:r>
          </w:p>
        </w:tc>
        <w:tc>
          <w:tcPr>
            <w:tcW w:w="60" w:type="dxa"/>
            <w:vAlign w:val="bottom"/>
          </w:tcPr>
          <w:p>
            <w:pPr>
              <w:spacing w:after="0"/>
              <w:rPr>
                <w:sz w:val="24"/>
                <w:szCs w:val="24"/>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(890,438)</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(370,564)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(629,658)</w:t>
            </w:r>
          </w:p>
        </w:tc>
        <w:tc>
          <w:tcPr>
            <w:tcW w:w="2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(239,306)</w:t>
            </w:r>
          </w:p>
        </w:tc>
        <w:tc>
          <w:tcPr>
            <w:tcW w:w="2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(2,129,966)</w:t>
            </w:r>
          </w:p>
        </w:tc>
      </w:tr>
      <w:tr>
        <w:trPr>
          <w:trHeight w:val="446"/>
        </w:trPr>
        <w:tc>
          <w:tcPr>
            <w:tcW w:w="3620" w:type="dxa"/>
            <w:vAlign w:val="bottom"/>
          </w:tcPr>
          <w:p>
            <w:pPr>
              <w:spacing w:after="0"/>
              <w:rPr>
                <w:sz w:val="20"/>
                <w:szCs w:val="20"/>
                <w:color w:val="auto"/>
              </w:rPr>
            </w:pPr>
            <w:r>
              <w:rPr>
                <w:rFonts w:ascii="Arial" w:cs="Arial" w:eastAsia="Arial" w:hAnsi="Arial"/>
                <w:sz w:val="18"/>
                <w:szCs w:val="18"/>
                <w:color w:val="auto"/>
              </w:rPr>
              <w:t>Other income</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7,756</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9,063</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6,872</w:t>
            </w: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2,246</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25,937</w:t>
            </w:r>
          </w:p>
        </w:tc>
        <w:tc>
          <w:tcPr>
            <w:tcW w:w="60" w:type="dxa"/>
            <w:vAlign w:val="bottom"/>
          </w:tcPr>
          <w:p>
            <w:pPr>
              <w:spacing w:after="0"/>
              <w:rPr>
                <w:sz w:val="24"/>
                <w:szCs w:val="24"/>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32"/>
        </w:trPr>
        <w:tc>
          <w:tcPr>
            <w:tcW w:w="3620" w:type="dxa"/>
            <w:vAlign w:val="bottom"/>
          </w:tcPr>
          <w:p>
            <w:pPr>
              <w:spacing w:after="0"/>
              <w:rPr>
                <w:sz w:val="20"/>
                <w:szCs w:val="20"/>
                <w:color w:val="auto"/>
              </w:rPr>
            </w:pPr>
            <w:r>
              <w:rPr>
                <w:rFonts w:ascii="Arial" w:cs="Arial" w:eastAsia="Arial" w:hAnsi="Arial"/>
                <w:sz w:val="18"/>
                <w:szCs w:val="18"/>
                <w:color w:val="auto"/>
              </w:rPr>
              <w:t>Loss before Taxes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(882,682)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(361,501)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(622,786)</w:t>
            </w:r>
          </w:p>
        </w:tc>
        <w:tc>
          <w:tcPr>
            <w:tcW w:w="2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(237,060)</w:t>
            </w:r>
          </w:p>
        </w:tc>
        <w:tc>
          <w:tcPr>
            <w:tcW w:w="2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(2,104,029)</w:t>
            </w:r>
          </w:p>
        </w:tc>
      </w:tr>
      <w:tr>
        <w:trPr>
          <w:trHeight w:val="446"/>
        </w:trPr>
        <w:tc>
          <w:tcPr>
            <w:tcW w:w="3620" w:type="dxa"/>
            <w:vAlign w:val="bottom"/>
          </w:tcPr>
          <w:p>
            <w:pPr>
              <w:spacing w:after="0"/>
              <w:rPr>
                <w:sz w:val="20"/>
                <w:szCs w:val="20"/>
                <w:color w:val="auto"/>
              </w:rPr>
            </w:pPr>
            <w:r>
              <w:rPr>
                <w:rFonts w:ascii="Arial" w:cs="Arial" w:eastAsia="Arial" w:hAnsi="Arial"/>
                <w:sz w:val="18"/>
                <w:szCs w:val="18"/>
                <w:color w:val="auto"/>
              </w:rPr>
              <w:t>Provision for Taxes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4"/>
                <w:szCs w:val="24"/>
                <w:color w:val="auto"/>
              </w:rPr>
            </w:pP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453"/>
        </w:trPr>
        <w:tc>
          <w:tcPr>
            <w:tcW w:w="3620" w:type="dxa"/>
            <w:vAlign w:val="bottom"/>
          </w:tcPr>
          <w:p>
            <w:pPr>
              <w:spacing w:after="0"/>
              <w:rPr>
                <w:sz w:val="20"/>
                <w:szCs w:val="20"/>
                <w:color w:val="auto"/>
              </w:rPr>
            </w:pPr>
            <w:r>
              <w:rPr>
                <w:rFonts w:ascii="Arial" w:cs="Arial" w:eastAsia="Arial" w:hAnsi="Arial"/>
                <w:sz w:val="18"/>
                <w:szCs w:val="18"/>
                <w:color w:val="auto"/>
              </w:rPr>
              <w:t>Net Income (Loss)</w:t>
            </w:r>
          </w:p>
        </w:tc>
        <w:tc>
          <w:tcPr>
            <w:tcW w:w="10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(882,682)</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(361,501)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(622,786)</w:t>
            </w:r>
          </w:p>
        </w:tc>
        <w:tc>
          <w:tcPr>
            <w:tcW w:w="200" w:type="dxa"/>
            <w:vAlign w:val="bottom"/>
          </w:tcPr>
          <w:p>
            <w:pPr>
              <w:spacing w:after="0"/>
              <w:rPr>
                <w:sz w:val="24"/>
                <w:szCs w:val="24"/>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(237,060)</w:t>
            </w:r>
          </w:p>
        </w:tc>
        <w:tc>
          <w:tcPr>
            <w:tcW w:w="200" w:type="dxa"/>
            <w:vAlign w:val="bottom"/>
          </w:tcPr>
          <w:p>
            <w:pPr>
              <w:spacing w:after="0"/>
              <w:rPr>
                <w:sz w:val="24"/>
                <w:szCs w:val="24"/>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(2,104,029)</w:t>
            </w:r>
          </w:p>
        </w:tc>
      </w:tr>
      <w:tr>
        <w:trPr>
          <w:trHeight w:val="418"/>
        </w:trPr>
        <w:tc>
          <w:tcPr>
            <w:tcW w:w="3620" w:type="dxa"/>
            <w:vAlign w:val="bottom"/>
          </w:tcPr>
          <w:p>
            <w:pPr>
              <w:spacing w:after="0"/>
              <w:rPr>
                <w:sz w:val="20"/>
                <w:szCs w:val="20"/>
                <w:color w:val="auto"/>
              </w:rPr>
            </w:pPr>
            <w:r>
              <w:rPr>
                <w:rFonts w:ascii="Arial" w:cs="Arial" w:eastAsia="Arial" w:hAnsi="Arial"/>
                <w:sz w:val="18"/>
                <w:szCs w:val="18"/>
                <w:color w:val="auto"/>
              </w:rPr>
              <w:t>Loss per share</w:t>
            </w:r>
          </w:p>
        </w:tc>
        <w:tc>
          <w:tcPr>
            <w:tcW w:w="108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8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244"/>
        </w:trPr>
        <w:tc>
          <w:tcPr>
            <w:tcW w:w="362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108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c>
          <w:tcPr>
            <w:tcW w:w="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(0.02)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(0.07)</w:t>
            </w:r>
          </w:p>
        </w:tc>
      </w:tr>
      <w:tr>
        <w:trPr>
          <w:trHeight w:val="27"/>
        </w:trPr>
        <w:tc>
          <w:tcPr>
            <w:tcW w:w="36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2017, we had total current assets of approximately $8.8 million, compared with current liabilities of approximately $3.5 million, resulting in working capital of approximately $5.3 million and a current ratio of approximately 2.5 to 1. This compares with the working capital balance of approximately $6.5 million and the current ratio of 2.8 to 1 at December 31, 2016. This decrease in working capital, as discussed in more detail below, is primarily the result of cash used in investing activities, as well as the redemption of shares of common stock held by our previous CEO.</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color w:val="auto"/>
        </w:rPr>
        <w:t>Following is a table with summary data from the consolidated statement of cash flows for the year ended December 31, 2017 and 2016, as presented.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9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2016</w:t>
            </w:r>
          </w:p>
        </w:tc>
        <w:tc>
          <w:tcPr>
            <w:tcW w:w="40" w:type="dxa"/>
            <w:vAlign w:val="bottom"/>
          </w:tcPr>
          <w:p>
            <w:pPr>
              <w:spacing w:after="0"/>
              <w:rPr>
                <w:sz w:val="20"/>
                <w:szCs w:val="20"/>
                <w:color w:val="auto"/>
              </w:rPr>
            </w:pPr>
          </w:p>
        </w:tc>
      </w:tr>
      <w:tr>
        <w:trPr>
          <w:trHeight w:val="202"/>
        </w:trPr>
        <w:tc>
          <w:tcPr>
            <w:tcW w:w="5920" w:type="dxa"/>
            <w:vAlign w:val="bottom"/>
          </w:tcPr>
          <w:p>
            <w:pPr>
              <w:spacing w:after="0" w:line="201" w:lineRule="exact"/>
              <w:rPr>
                <w:sz w:val="20"/>
                <w:szCs w:val="20"/>
                <w:color w:val="auto"/>
              </w:rPr>
            </w:pPr>
            <w:r>
              <w:rPr>
                <w:rFonts w:ascii="Arial" w:cs="Arial" w:eastAsia="Arial" w:hAnsi="Arial"/>
                <w:sz w:val="18"/>
                <w:szCs w:val="18"/>
                <w:color w:val="auto"/>
              </w:rPr>
              <w:t>Net cash used in operating activities</w:t>
            </w:r>
          </w:p>
        </w:tc>
        <w:tc>
          <w:tcPr>
            <w:tcW w:w="290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w w:val="97"/>
              </w:rPr>
              <w:t>(1,479,831)</w:t>
            </w:r>
          </w:p>
        </w:tc>
        <w:tc>
          <w:tcPr>
            <w:tcW w:w="240" w:type="dxa"/>
            <w:vAlign w:val="bottom"/>
          </w:tcPr>
          <w:p>
            <w:pPr>
              <w:spacing w:after="0"/>
              <w:rPr>
                <w:sz w:val="17"/>
                <w:szCs w:val="17"/>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40" w:type="dxa"/>
            <w:vAlign w:val="bottom"/>
          </w:tcPr>
          <w:p>
            <w:pPr>
              <w:jc w:val="right"/>
              <w:spacing w:after="0" w:line="201" w:lineRule="exact"/>
              <w:rPr>
                <w:sz w:val="20"/>
                <w:szCs w:val="20"/>
                <w:color w:val="auto"/>
              </w:rPr>
            </w:pPr>
            <w:r>
              <w:rPr>
                <w:rFonts w:ascii="Arial" w:cs="Arial" w:eastAsia="Arial" w:hAnsi="Arial"/>
                <w:sz w:val="18"/>
                <w:szCs w:val="18"/>
                <w:color w:val="auto"/>
              </w:rPr>
              <w:t>(465,965)</w:t>
            </w:r>
          </w:p>
        </w:tc>
        <w:tc>
          <w:tcPr>
            <w:tcW w:w="40" w:type="dxa"/>
            <w:vAlign w:val="bottom"/>
          </w:tcPr>
          <w:p>
            <w:pPr>
              <w:spacing w:after="0"/>
              <w:rPr>
                <w:sz w:val="17"/>
                <w:szCs w:val="17"/>
                <w:color w:val="auto"/>
              </w:rPr>
            </w:pPr>
          </w:p>
        </w:tc>
      </w:tr>
      <w:tr>
        <w:trPr>
          <w:trHeight w:val="216"/>
        </w:trPr>
        <w:tc>
          <w:tcPr>
            <w:tcW w:w="59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2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(42,243)</w:t>
            </w:r>
          </w:p>
        </w:tc>
        <w:tc>
          <w:tcPr>
            <w:tcW w:w="20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(349,538)</w:t>
            </w:r>
          </w:p>
        </w:tc>
      </w:tr>
      <w:tr>
        <w:trPr>
          <w:trHeight w:val="244"/>
        </w:trPr>
        <w:tc>
          <w:tcPr>
            <w:tcW w:w="5920" w:type="dxa"/>
            <w:vAlign w:val="bottom"/>
          </w:tcPr>
          <w:p>
            <w:pPr>
              <w:spacing w:after="0"/>
              <w:rPr>
                <w:sz w:val="20"/>
                <w:szCs w:val="20"/>
                <w:color w:val="auto"/>
              </w:rPr>
            </w:pPr>
            <w:r>
              <w:rPr>
                <w:rFonts w:ascii="Arial" w:cs="Arial" w:eastAsia="Arial" w:hAnsi="Arial"/>
                <w:sz w:val="18"/>
                <w:szCs w:val="18"/>
                <w:color w:val="auto"/>
              </w:rPr>
              <w:t>Net cash used in financing activities</w:t>
            </w:r>
          </w:p>
        </w:tc>
        <w:tc>
          <w:tcPr>
            <w:tcW w:w="29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(390,000)</w:t>
            </w:r>
          </w:p>
        </w:tc>
        <w:tc>
          <w:tcPr>
            <w:tcW w:w="200" w:type="dxa"/>
            <w:vAlign w:val="bottom"/>
          </w:tcPr>
          <w:p>
            <w:pPr>
              <w:spacing w:after="0"/>
              <w:rPr>
                <w:sz w:val="21"/>
                <w:szCs w:val="21"/>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(357,415)</w:t>
            </w:r>
          </w:p>
        </w:tc>
      </w:tr>
      <w:tr>
        <w:trPr>
          <w:trHeight w:val="27"/>
        </w:trPr>
        <w:tc>
          <w:tcPr>
            <w:tcW w:w="59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446"/>
        </w:trPr>
        <w:tc>
          <w:tcPr>
            <w:tcW w:w="5920" w:type="dxa"/>
            <w:vAlign w:val="bottom"/>
          </w:tcPr>
          <w:p>
            <w:pPr>
              <w:spacing w:after="0"/>
              <w:rPr>
                <w:sz w:val="20"/>
                <w:szCs w:val="20"/>
                <w:color w:val="auto"/>
              </w:rPr>
            </w:pPr>
            <w:r>
              <w:rPr>
                <w:rFonts w:ascii="Arial" w:cs="Arial" w:eastAsia="Arial" w:hAnsi="Arial"/>
                <w:sz w:val="18"/>
                <w:szCs w:val="18"/>
                <w:color w:val="auto"/>
              </w:rPr>
              <w:t>Net decrease in cash and cash equivalents</w:t>
            </w:r>
          </w:p>
        </w:tc>
        <w:tc>
          <w:tcPr>
            <w:tcW w:w="31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(1,912,074)</w:t>
            </w: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(1,172,918)</w:t>
            </w:r>
          </w:p>
        </w:tc>
      </w:tr>
      <w:tr>
        <w:trPr>
          <w:trHeight w:val="27"/>
        </w:trPr>
        <w:tc>
          <w:tcPr>
            <w:tcW w:w="5920" w:type="dxa"/>
            <w:vAlign w:val="bottom"/>
          </w:tcPr>
          <w:p>
            <w:pPr>
              <w:spacing w:after="0"/>
              <w:rPr>
                <w:sz w:val="2"/>
                <w:szCs w:val="2"/>
                <w:color w:val="auto"/>
              </w:rPr>
            </w:pPr>
          </w:p>
        </w:tc>
        <w:tc>
          <w:tcPr>
            <w:tcW w:w="29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tcBorders>
              <w:right w:val="single" w:sz="8" w:color="auto"/>
            </w:tcBorders>
            <w:shd w:val="clear" w:color="auto" w:fill="000000"/>
          </w:tcPr>
          <w:p>
            <w:pPr>
              <w:spacing w:after="0"/>
              <w:rPr>
                <w:sz w:val="2"/>
                <w:szCs w:val="2"/>
                <w:color w:val="auto"/>
              </w:rPr>
            </w:pPr>
          </w:p>
        </w:tc>
        <w:tc>
          <w:tcPr>
            <w:tcW w:w="40" w:type="dxa"/>
            <w:vAlign w:val="bottom"/>
          </w:tcPr>
          <w:p>
            <w:pPr>
              <w:spacing w:after="0"/>
              <w:rPr>
                <w:sz w:val="2"/>
                <w:szCs w:val="2"/>
                <w:color w:val="auto"/>
              </w:rPr>
            </w:pPr>
          </w:p>
        </w:tc>
      </w:tr>
    </w:tbl>
    <w:p>
      <w:pPr>
        <w:spacing w:after="0" w:line="20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Our operating activities used approximately $1.5 million in the year ended December 31, 2017, as compared with approximately $0.5 million used in operating activities in the year ended December 31, 2016. The cash used in operations in 2017 was the result of both increased levels of working capital required to support higher revenue levels as well as a change in the contractual relationship related to certain partners resulting in a reduction of revenue share payable at December 31, 2017. The majority of the cash used in operations in 2016 related to a payment to our previous CEO. We had an accounts payable recorded at $570,000 to the previous CEO payable in 300,000 shares of common stock. We paid $363,000 in full settlement of the liability in cash in lieu of issuing shares. The difference between the amount paid and the amount recorded was charged to additional paid in capital.</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used approximately $50,000 in investing activities in the year ended December 31, 2017, as compared with approximately $350,000 used in investment activities in the year ended December 31, 2016. These investment activities relate to improvements being implemented in our software platform, protection and expansion of our patent portfolio and upgrade of our office facilities and computers. These items represent important components of our business strategy moving forward.</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Financing activities used $390,000 in 2017 as a result of the redemption of shares of common stock held by our previous CEO. Financing activities used approximately $357,000 during the year ended December 31, 2016. This results from a payment to our previous CEO in 2016. In addition to the accounts payable related party, we also owed shares for previous stock grants. A total payment of approximately $720,000 was made to the previous CEO in 2017, with $363,000 affecting cash flow from operations and $357,000 reflected as cash flow from financing activities.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With our cash on hand, we have sufficient cash to operate our business for more than the next 12 months and we do not anticipate the need to raise additional equity for operating purposes.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there were no off-balance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accounting policies are discussed in detail in the footnotes to our financial statements included in this Annual Report on Form 10-K for the year ended December 31, 2017; however, we consider our critical accounting policies to be those related to determining the amount of revenue to be billed, the timing of revenue recognition, calculation of revenue share expense, stock-based compensation, capitalization and related amortization of intangible assets and impairment of assets.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2016, the FASB issued ASU No. 2016-02, Leases (Topic 842) (“ASU 2016-02”), which modifies lease accounting for lessees to increase transparency and comparability by recording lease assets and liabilities for operating leases and disclosing key information about leasing arrangements. The Company will adopt ASU 2016-02 in its first quarter of 2019. While the Company is currently evaluating the timing and impact of adopting ASU 2016-02, currently the Company anticipates no material impact to its Consolidated Statements of Operations. However, the ultimate impact of adopting ASU 2016-02 will depend on the Company’s lease portfolio as of the adoption date.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0" w:name="page21"/>
    <w:bookmarkEnd w:id="20"/>
    <w:p>
      <w:pPr>
        <w:jc w:val="both"/>
        <w:spacing w:after="0" w:line="264" w:lineRule="auto"/>
        <w:rPr>
          <w:sz w:val="20"/>
          <w:szCs w:val="20"/>
          <w:color w:val="auto"/>
        </w:rPr>
      </w:pPr>
      <w:r>
        <w:rPr>
          <w:rFonts w:ascii="Arial" w:cs="Arial" w:eastAsia="Arial" w:hAnsi="Arial"/>
          <w:sz w:val="18"/>
          <w:szCs w:val="18"/>
          <w:color w:val="auto"/>
        </w:rPr>
        <w:t>In May 2014, the FASB issued ASU No. 2014-09, Revenue from Contracts with Customers (Topic 606) (“ASU 2014-09”), which amends the existing accounting standards for revenue recognition. ASU 2014-09 is based on principles that govern the recognition of revenue at an amount an entity expects to be entitled when products are transferred to customers.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Subsequently, the FASB has issued the following standards related to ASU 2014-09: ASU No. 2016-08, Revenue from Contracts with Customers (Topic 606):</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Principal versus Agent Considerations (“ASU 2016-08”); ASU No. 2016-10, Revenue from Contracts with Customers (Topic 606): Identifying Performance Obligations and Licensing (“ASU 2016-10”); ASU No. 2016-12, Revenue from Contracts with Customers (Topic 606): Narrow-Scope Improvements and Practical Expedients (“ASU 2016-12”); and ASU No. 2016-20, Technical Corrections and Improvements to Topic 606, Revenue from Contracts with Customers (“ASU 2016-20”). The Company must adopt ASU 2016-08, ASU 2016-10, ASU 2016-12 and ASU 2016-20 with ASU 2014-09 (collectively, the “new revenue standards”).</w:t>
      </w:r>
    </w:p>
    <w:p>
      <w:pPr>
        <w:spacing w:after="0" w:line="19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new revenue standards may be applied retrospectively to each prior period presented or retrospectively with the cumulative effect recognized as of the date of adoption. The Company will adopt the new revenue standards in Q1 2018. The new revenue standards are not expected to have a material impact on the amount and timing of revenue recognized in the Company’s consolidated financial statements.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do not expect the adoption of these or other recently issued accounting pronouncements to have a significant impact on our results of operation, financial position or cash flow.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 Financial Statements and Supplementary Data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F-1</w:t>
      </w:r>
      <w:r>
        <w:rPr>
          <w:sz w:val="20"/>
          <w:szCs w:val="20"/>
          <w:color w:val="auto"/>
        </w:rPr>
        <w:tab/>
      </w:r>
      <w:r>
        <w:rPr>
          <w:rFonts w:ascii="Arial" w:cs="Arial" w:eastAsia="Arial" w:hAnsi="Arial"/>
          <w:sz w:val="16"/>
          <w:szCs w:val="16"/>
          <w:color w:val="auto"/>
        </w:rPr>
        <w:t>Reports of Independent Registered Public Accounting Firms;</w:t>
      </w:r>
    </w:p>
    <w:p>
      <w:pPr>
        <w:spacing w:after="0" w:line="23"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F-3</w:t>
      </w:r>
      <w:r>
        <w:rPr>
          <w:sz w:val="20"/>
          <w:szCs w:val="20"/>
          <w:color w:val="auto"/>
        </w:rPr>
        <w:tab/>
      </w:r>
      <w:r>
        <w:rPr>
          <w:rFonts w:ascii="Arial" w:cs="Arial" w:eastAsia="Arial" w:hAnsi="Arial"/>
          <w:sz w:val="16"/>
          <w:szCs w:val="16"/>
          <w:color w:val="auto"/>
        </w:rPr>
        <w:t>Consolidated Balance Sheets as of December 31, 2017 and 2016;</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F-4</w:t>
      </w:r>
      <w:r>
        <w:rPr>
          <w:sz w:val="20"/>
          <w:szCs w:val="20"/>
          <w:color w:val="auto"/>
        </w:rPr>
        <w:tab/>
      </w:r>
      <w:r>
        <w:rPr>
          <w:rFonts w:ascii="Arial" w:cs="Arial" w:eastAsia="Arial" w:hAnsi="Arial"/>
          <w:sz w:val="16"/>
          <w:szCs w:val="16"/>
          <w:color w:val="auto"/>
        </w:rPr>
        <w:t>Consolidated Statements of Operations for the years ended December 31, 2017 and 2016;</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F-5</w:t>
      </w:r>
      <w:r>
        <w:rPr>
          <w:sz w:val="20"/>
          <w:szCs w:val="20"/>
          <w:color w:val="auto"/>
        </w:rPr>
        <w:tab/>
      </w:r>
      <w:r>
        <w:rPr>
          <w:rFonts w:ascii="Arial" w:cs="Arial" w:eastAsia="Arial" w:hAnsi="Arial"/>
          <w:sz w:val="16"/>
          <w:szCs w:val="16"/>
          <w:color w:val="auto"/>
        </w:rPr>
        <w:t>Consolidated Statement of Stockholders’ Equity for the year ended December 31, 2016;</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F-6</w:t>
      </w:r>
      <w:r>
        <w:rPr>
          <w:sz w:val="20"/>
          <w:szCs w:val="20"/>
          <w:color w:val="auto"/>
        </w:rPr>
        <w:tab/>
      </w:r>
      <w:r>
        <w:rPr>
          <w:rFonts w:ascii="Arial" w:cs="Arial" w:eastAsia="Arial" w:hAnsi="Arial"/>
          <w:sz w:val="16"/>
          <w:szCs w:val="16"/>
          <w:color w:val="auto"/>
        </w:rPr>
        <w:t>Consolidated Statement of Stockholders’ Equity for the year ended December 31, 2017;</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F-7</w:t>
      </w:r>
      <w:r>
        <w:rPr>
          <w:sz w:val="20"/>
          <w:szCs w:val="20"/>
          <w:color w:val="auto"/>
        </w:rPr>
        <w:tab/>
      </w:r>
      <w:r>
        <w:rPr>
          <w:rFonts w:ascii="Arial" w:cs="Arial" w:eastAsia="Arial" w:hAnsi="Arial"/>
          <w:sz w:val="16"/>
          <w:szCs w:val="16"/>
          <w:color w:val="auto"/>
        </w:rPr>
        <w:t>Consolidated Statements of Cash Flows for the years ended December 31, 2017 and 2016; and</w:t>
      </w:r>
    </w:p>
    <w:p>
      <w:pPr>
        <w:spacing w:after="0" w:line="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color w:val="auto"/>
        </w:rPr>
        <w:t>F-8</w:t>
      </w:r>
      <w:r>
        <w:rPr>
          <w:sz w:val="20"/>
          <w:szCs w:val="20"/>
          <w:color w:val="auto"/>
        </w:rPr>
        <w:tab/>
      </w:r>
      <w:r>
        <w:rPr>
          <w:rFonts w:ascii="Arial" w:cs="Arial" w:eastAsia="Arial" w:hAnsi="Arial"/>
          <w:sz w:val="16"/>
          <w:szCs w:val="16"/>
          <w:color w:val="auto"/>
        </w:rPr>
        <w:t>Notes to Consolidated Financial Statements</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spacing w:after="0" w:line="31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389255</wp:posOffset>
            </wp:positionH>
            <wp:positionV relativeFrom="page">
              <wp:posOffset>226060</wp:posOffset>
            </wp:positionV>
            <wp:extent cx="1724025" cy="7289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1724025" cy="728980"/>
                    </a:xfrm>
                    <a:prstGeom prst="rect">
                      <a:avLst/>
                    </a:prstGeom>
                    <a:noFill/>
                  </pic:spPr>
                </pic:pic>
              </a:graphicData>
            </a:graphic>
          </wp:anchor>
        </w:drawing>
      </w:r>
    </w:p>
    <w:p>
      <w:pPr>
        <w:ind w:left="2640"/>
        <w:spacing w:after="0"/>
        <w:rPr>
          <w:sz w:val="20"/>
          <w:szCs w:val="20"/>
          <w:color w:val="auto"/>
        </w:rPr>
      </w:pPr>
      <w:r>
        <w:rPr>
          <w:rFonts w:ascii="Arial" w:cs="Arial" w:eastAsia="Arial" w:hAnsi="Arial"/>
          <w:sz w:val="18"/>
          <w:szCs w:val="18"/>
          <w:b w:val="1"/>
          <w:bCs w:val="1"/>
          <w:u w:val="single" w:color="auto"/>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OptimizeRx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Opinion on the Financial Statements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consolidated balance sheet of OptimizeRx Corporation (“the Company ”) as of December 31, 2017, and the related consolidated statements of operations, stockholders’ equity, and cash flows for the year ended December 31, 2017 and the related notes (collectively referred to as the “financial statements”). In our opinion, the consolidated financial statements referred to above present fairly, in all material respects, the financial position of OptimizeRx Corporation as of December 31, 2017, and the results of its operations and its cash flows for the year ended December 31, 2017, in conformity with accounting principles generally accepted in the United States of America.</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for Opinion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OptimizeRx Corporation consolidated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Sadler, Gibb &amp; Associates,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Salt Lake City, UT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7,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Office</w:t>
        <w:tab/>
        <w:t>801.783.2950</w:t>
      </w:r>
    </w:p>
    <w:p>
      <w:pPr>
        <w:spacing w:after="0" w:line="2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fax</w:t>
      </w:r>
      <w:r>
        <w:rPr>
          <w:sz w:val="20"/>
          <w:szCs w:val="20"/>
          <w:color w:val="auto"/>
        </w:rPr>
        <w:tab/>
      </w:r>
      <w:r>
        <w:rPr>
          <w:rFonts w:ascii="Arial" w:cs="Arial" w:eastAsia="Arial" w:hAnsi="Arial"/>
          <w:sz w:val="18"/>
          <w:szCs w:val="18"/>
          <w:color w:val="auto"/>
        </w:rPr>
        <w:t>801.783.2960</w:t>
      </w: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www.sadlergibb.com </w:t>
      </w:r>
      <w:r>
        <w:rPr>
          <w:rFonts w:ascii="Arial" w:cs="Arial" w:eastAsia="Arial" w:hAnsi="Arial"/>
          <w:sz w:val="16"/>
          <w:szCs w:val="16"/>
          <w:color w:val="auto"/>
        </w:rPr>
        <w:t>|</w:t>
      </w:r>
      <w:r>
        <w:rPr>
          <w:rFonts w:ascii="Arial" w:cs="Arial" w:eastAsia="Arial" w:hAnsi="Arial"/>
          <w:sz w:val="16"/>
          <w:szCs w:val="16"/>
          <w:b w:val="1"/>
          <w:bCs w:val="1"/>
          <w:color w:val="auto"/>
        </w:rPr>
        <w:t xml:space="preserve"> Main</w:t>
      </w:r>
      <w:r>
        <w:rPr>
          <w:rFonts w:ascii="Arial" w:cs="Arial" w:eastAsia="Arial" w:hAnsi="Arial"/>
          <w:sz w:val="16"/>
          <w:szCs w:val="16"/>
          <w:color w:val="auto"/>
        </w:rPr>
        <w:t>: 2455 East Parleys Way Suite 320, Salt Lake City, UT 84109 |</w:t>
      </w:r>
      <w:r>
        <w:rPr>
          <w:rFonts w:ascii="Arial" w:cs="Arial" w:eastAsia="Arial" w:hAnsi="Arial"/>
          <w:sz w:val="16"/>
          <w:szCs w:val="16"/>
          <w:b w:val="1"/>
          <w:bCs w:val="1"/>
          <w:color w:val="auto"/>
        </w:rPr>
        <w:t xml:space="preserve"> Provo</w:t>
      </w:r>
      <w:r>
        <w:rPr>
          <w:rFonts w:ascii="Arial" w:cs="Arial" w:eastAsia="Arial" w:hAnsi="Arial"/>
          <w:sz w:val="16"/>
          <w:szCs w:val="16"/>
          <w:color w:val="auto"/>
        </w:rPr>
        <w:t>: 3507 N University Ave #100, Provo, UT 84604</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color w:val="auto"/>
        </w:rPr>
        <w:t>KLJ &amp; Associates, LLP</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5201 Eden Ave.</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Suite 300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Edina, MN 55436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Office: 630-277-2330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763-592-8238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REPORT OF INDEPENDENT REGISTERED PUBLIC ACCOUNTING FIRM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We have audited the accompanying consolidated balance sheets of OptimizeRx Corporation as of December 31,2016, and the related consolidated statements of operations, shareholders’ equity (deficit), and cash flows for the year then ended. These consolidated financial statements are the responsibility of the Company’s management. Our responsibility is to express an opinion on these consolidated financial statements based on our audits.</w:t>
      </w:r>
    </w:p>
    <w:p>
      <w:pPr>
        <w:spacing w:after="0" w:line="14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consolidated financial statements are free of material misstatement. The Company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also includes examining, on a test basis, evidence supporting the amounts and disclosures in the financial statements, assessing the accounting principles used and significant estimates made by management, as well as evaluating the overall financial statement presentation. We believe that our audits provide a reasonable basis for our opinion.</w:t>
      </w:r>
    </w:p>
    <w:p>
      <w:pPr>
        <w:spacing w:after="0" w:line="19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2016 and the results of their operations and their cash flows for year ended December 31, 2016,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KLJ &amp; Associates,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Edina, MN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8, 2017</w:t>
      </w: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3" w:name="page24"/>
    <w:bookmarkEnd w:id="2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color w:val="auto"/>
        </w:rPr>
        <w:t>Current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and cash equivalents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0" w:right="560"/>
        <w:spacing w:after="0" w:line="257" w:lineRule="auto"/>
        <w:rPr>
          <w:sz w:val="20"/>
          <w:szCs w:val="20"/>
          <w:color w:val="auto"/>
        </w:rPr>
      </w:pPr>
      <w:r>
        <w:rPr>
          <w:rFonts w:ascii="Arial" w:cs="Arial" w:eastAsia="Arial" w:hAnsi="Arial"/>
          <w:sz w:val="18"/>
          <w:szCs w:val="18"/>
          <w:color w:val="auto"/>
        </w:rPr>
        <w:t>Accounts receivable – related party Prepaid expenses</w:t>
      </w:r>
    </w:p>
    <w:p>
      <w:pPr>
        <w:spacing w:after="0" w:line="2" w:lineRule="exact"/>
        <w:rPr>
          <w:sz w:val="20"/>
          <w:szCs w:val="20"/>
          <w:color w:val="auto"/>
        </w:rPr>
      </w:pPr>
    </w:p>
    <w:p>
      <w:pPr>
        <w:ind w:right="1260"/>
        <w:spacing w:after="0" w:line="325" w:lineRule="auto"/>
        <w:rPr>
          <w:sz w:val="20"/>
          <w:szCs w:val="20"/>
          <w:color w:val="auto"/>
        </w:rPr>
      </w:pPr>
      <w:r>
        <w:rPr>
          <w:rFonts w:ascii="Arial" w:cs="Arial" w:eastAsia="Arial" w:hAnsi="Arial"/>
          <w:sz w:val="16"/>
          <w:szCs w:val="16"/>
          <w:color w:val="auto"/>
        </w:rPr>
        <w:t>Total Current Assets Property and equipment, net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Other Assets</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Patent rights, net</w:t>
      </w:r>
    </w:p>
    <w:p>
      <w:pPr>
        <w:spacing w:after="0" w:line="9" w:lineRule="exact"/>
        <w:rPr>
          <w:sz w:val="20"/>
          <w:szCs w:val="20"/>
          <w:color w:val="auto"/>
        </w:rPr>
      </w:pPr>
    </w:p>
    <w:p>
      <w:pPr>
        <w:ind w:left="180" w:right="1100"/>
        <w:spacing w:after="0" w:line="257" w:lineRule="auto"/>
        <w:rPr>
          <w:sz w:val="20"/>
          <w:szCs w:val="20"/>
          <w:color w:val="auto"/>
        </w:rPr>
      </w:pPr>
      <w:r>
        <w:rPr>
          <w:rFonts w:ascii="Arial" w:cs="Arial" w:eastAsia="Arial" w:hAnsi="Arial"/>
          <w:sz w:val="18"/>
          <w:szCs w:val="18"/>
          <w:color w:val="auto"/>
        </w:rPr>
        <w:t>Web development costs, net Security deposit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Total Other Assets</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TOTAL ASSETS</w:t>
      </w:r>
    </w:p>
    <w:p>
      <w:pPr>
        <w:spacing w:after="0" w:line="20" w:lineRule="exact"/>
        <w:rPr>
          <w:sz w:val="20"/>
          <w:szCs w:val="20"/>
          <w:color w:val="auto"/>
        </w:rPr>
      </w:pPr>
      <w:r>
        <w:rPr>
          <w:sz w:val="20"/>
          <w:szCs w:val="20"/>
          <w:color w:val="auto"/>
        </w:rPr>
        <w:br w:type="column"/>
      </w:r>
    </w:p>
    <w:p>
      <w:pPr>
        <w:ind w:left="4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400"/>
        <w:spacing w:after="0"/>
        <w:rPr>
          <w:sz w:val="20"/>
          <w:szCs w:val="20"/>
          <w:color w:val="auto"/>
        </w:rPr>
      </w:pPr>
      <w:r>
        <w:rPr>
          <w:rFonts w:ascii="Arial" w:cs="Arial" w:eastAsia="Arial" w:hAnsi="Arial"/>
          <w:sz w:val="18"/>
          <w:szCs w:val="18"/>
          <w:b w:val="1"/>
          <w:bCs w:val="1"/>
          <w:color w:val="auto"/>
        </w:rPr>
        <w:t>Consolidated Balance Sheets as of</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December 31, 2017 and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360" w:type="dxa"/>
            <w:vAlign w:val="bottom"/>
            <w:gridSpan w:val="3"/>
          </w:tcPr>
          <w:p>
            <w:pPr>
              <w:jc w:val="right"/>
              <w:ind w:right="320"/>
              <w:spacing w:after="0"/>
              <w:rPr>
                <w:sz w:val="20"/>
                <w:szCs w:val="20"/>
                <w:color w:val="auto"/>
              </w:rPr>
            </w:pPr>
            <w:r>
              <w:rPr>
                <w:rFonts w:ascii="Arial" w:cs="Arial" w:eastAsia="Arial" w:hAnsi="Arial"/>
                <w:sz w:val="18"/>
                <w:szCs w:val="18"/>
                <w:color w:val="auto"/>
                <w:w w:val="90"/>
              </w:rPr>
              <w:t>December 31,</w:t>
            </w:r>
          </w:p>
        </w:tc>
        <w:tc>
          <w:tcPr>
            <w:tcW w:w="1140" w:type="dxa"/>
            <w:vAlign w:val="bottom"/>
            <w:gridSpan w:val="2"/>
          </w:tcPr>
          <w:p>
            <w:pPr>
              <w:jc w:val="right"/>
              <w:ind w:right="10"/>
              <w:spacing w:after="0"/>
              <w:rPr>
                <w:sz w:val="20"/>
                <w:szCs w:val="20"/>
                <w:color w:val="auto"/>
              </w:rPr>
            </w:pPr>
            <w:r>
              <w:rPr>
                <w:rFonts w:ascii="Arial" w:cs="Arial" w:eastAsia="Arial" w:hAnsi="Arial"/>
                <w:sz w:val="18"/>
                <w:szCs w:val="18"/>
                <w:color w:val="auto"/>
                <w:w w:val="90"/>
              </w:rPr>
              <w:t>December 31,</w:t>
            </w:r>
          </w:p>
        </w:tc>
      </w:tr>
      <w:tr>
        <w:trPr>
          <w:trHeight w:val="237"/>
        </w:trPr>
        <w:tc>
          <w:tcPr>
            <w:tcW w:w="48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r>
      <w:tr>
        <w:trPr>
          <w:trHeight w:val="432"/>
        </w:trPr>
        <w:tc>
          <w:tcPr>
            <w:tcW w:w="5040" w:type="dxa"/>
            <w:vAlign w:val="bottom"/>
            <w:gridSpan w:val="2"/>
          </w:tcPr>
          <w:p>
            <w:pPr>
              <w:jc w:val="right"/>
              <w:ind w:right="4290"/>
              <w:spacing w:after="0"/>
              <w:rPr>
                <w:sz w:val="20"/>
                <w:szCs w:val="20"/>
                <w:color w:val="auto"/>
              </w:rPr>
            </w:pPr>
            <w:r>
              <w:rPr>
                <w:rFonts w:ascii="Arial" w:cs="Arial" w:eastAsia="Arial" w:hAnsi="Arial"/>
                <w:sz w:val="18"/>
                <w:szCs w:val="18"/>
                <w:b w:val="1"/>
                <w:bCs w:val="1"/>
                <w:color w:val="auto"/>
                <w:w w:val="88"/>
              </w:rPr>
              <w:t>ASSETS</w:t>
            </w: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18"/>
        </w:trPr>
        <w:tc>
          <w:tcPr>
            <w:tcW w:w="5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5,122,573</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7,034,647</w:t>
            </w:r>
          </w:p>
        </w:tc>
      </w:tr>
      <w:tr>
        <w:trPr>
          <w:trHeight w:val="216"/>
        </w:trPr>
        <w:tc>
          <w:tcPr>
            <w:tcW w:w="4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2,257,276</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1,951,811</w:t>
            </w:r>
          </w:p>
        </w:tc>
      </w:tr>
      <w:tr>
        <w:trPr>
          <w:trHeight w:val="230"/>
        </w:trPr>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1,173,614</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1,108,585</w:t>
            </w:r>
          </w:p>
        </w:tc>
      </w:tr>
      <w:tr>
        <w:trPr>
          <w:trHeight w:val="237"/>
        </w:trPr>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255,428</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80,820</w:t>
            </w:r>
          </w:p>
        </w:tc>
      </w:tr>
      <w:tr>
        <w:trPr>
          <w:trHeight w:val="223"/>
        </w:trPr>
        <w:tc>
          <w:tcPr>
            <w:tcW w:w="4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8,808,891</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10,175,863</w:t>
            </w:r>
          </w:p>
        </w:tc>
      </w:tr>
      <w:tr>
        <w:trPr>
          <w:trHeight w:val="223"/>
        </w:trPr>
        <w:tc>
          <w:tcPr>
            <w:tcW w:w="48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167,305</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173,649</w:t>
            </w:r>
          </w:p>
        </w:tc>
      </w:tr>
      <w:tr>
        <w:trPr>
          <w:trHeight w:val="418"/>
        </w:trPr>
        <w:tc>
          <w:tcPr>
            <w:tcW w:w="4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638,766</w:t>
            </w:r>
          </w:p>
        </w:tc>
        <w:tc>
          <w:tcPr>
            <w:tcW w:w="2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772,394</w:t>
            </w:r>
          </w:p>
        </w:tc>
      </w:tr>
      <w:tr>
        <w:trPr>
          <w:trHeight w:val="230"/>
        </w:trPr>
        <w:tc>
          <w:tcPr>
            <w:tcW w:w="4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143,730</w:t>
            </w:r>
          </w:p>
        </w:tc>
        <w:tc>
          <w:tcPr>
            <w:tcW w:w="20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351,804</w:t>
            </w:r>
          </w:p>
        </w:tc>
      </w:tr>
      <w:tr>
        <w:trPr>
          <w:trHeight w:val="237"/>
        </w:trPr>
        <w:tc>
          <w:tcPr>
            <w:tcW w:w="48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5,049</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5,049</w:t>
            </w:r>
          </w:p>
        </w:tc>
      </w:tr>
      <w:tr>
        <w:trPr>
          <w:trHeight w:val="223"/>
        </w:trPr>
        <w:tc>
          <w:tcPr>
            <w:tcW w:w="480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787,545</w:t>
            </w:r>
          </w:p>
        </w:tc>
        <w:tc>
          <w:tcPr>
            <w:tcW w:w="2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1,129,247</w:t>
            </w:r>
          </w:p>
        </w:tc>
      </w:tr>
      <w:tr>
        <w:trPr>
          <w:trHeight w:val="250"/>
        </w:trPr>
        <w:tc>
          <w:tcPr>
            <w:tcW w:w="50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9,763,741</w:t>
            </w:r>
          </w:p>
        </w:tc>
        <w:tc>
          <w:tcPr>
            <w:tcW w:w="200" w:type="dxa"/>
            <w:vAlign w:val="bottom"/>
          </w:tcPr>
          <w:p>
            <w:pPr>
              <w:jc w:val="right"/>
              <w:ind w:right="40"/>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11,478,759</w:t>
            </w:r>
          </w:p>
        </w:tc>
      </w:tr>
      <w:tr>
        <w:trPr>
          <w:trHeight w:val="21"/>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2">
            <w:col w:w="3300" w:space="720"/>
            <w:col w:w="7360"/>
          </w:cols>
          <w:pgMar w:left="240" w:top="337" w:right="279" w:bottom="1440" w:gutter="0" w:footer="0" w:header="0"/>
        </w:sectPr>
      </w:pPr>
    </w:p>
    <w:tbl>
      <w:tblPr>
        <w:tblLayout w:type="fixed"/>
        <w:tblInd w:w="0" w:type="dxa"/>
        <w:tblCellMar>
          <w:top w:w="0" w:type="dxa"/>
          <w:left w:w="0" w:type="dxa"/>
          <w:bottom w:w="0" w:type="dxa"/>
          <w:right w:w="0" w:type="dxa"/>
        </w:tblCellMar>
      </w:tblPr>
      <w:tr>
        <w:trPr>
          <w:trHeight w:val="220"/>
        </w:trPr>
        <w:tc>
          <w:tcPr>
            <w:tcW w:w="8740" w:type="dxa"/>
            <w:vAlign w:val="bottom"/>
          </w:tcPr>
          <w:p>
            <w:pPr>
              <w:ind w:left="2400"/>
              <w:spacing w:after="0"/>
              <w:rPr>
                <w:sz w:val="20"/>
                <w:szCs w:val="20"/>
                <w:color w:val="auto"/>
              </w:rPr>
            </w:pPr>
            <w:r>
              <w:rPr>
                <w:rFonts w:ascii="Arial" w:cs="Arial" w:eastAsia="Arial" w:hAnsi="Arial"/>
                <w:sz w:val="18"/>
                <w:szCs w:val="18"/>
                <w:b w:val="1"/>
                <w:bCs w:val="1"/>
                <w:color w:val="auto"/>
              </w:rPr>
              <w:t>LIABILITIES AND STOCKHOLDERS’ EQUITY</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16"/>
        </w:trPr>
        <w:tc>
          <w:tcPr>
            <w:tcW w:w="8740" w:type="dxa"/>
            <w:vAlign w:val="bottom"/>
          </w:tcPr>
          <w:p>
            <w:pPr>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Accounts payable – trade</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457,289</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369,214</w:t>
            </w:r>
          </w:p>
        </w:tc>
        <w:tc>
          <w:tcPr>
            <w:tcW w:w="60" w:type="dxa"/>
            <w:vAlign w:val="bottom"/>
          </w:tcPr>
          <w:p>
            <w:pPr>
              <w:spacing w:after="0"/>
              <w:rPr>
                <w:sz w:val="18"/>
                <w:szCs w:val="18"/>
                <w:color w:val="auto"/>
              </w:rPr>
            </w:pP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953,947</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288,268</w:t>
            </w:r>
          </w:p>
        </w:tc>
        <w:tc>
          <w:tcPr>
            <w:tcW w:w="60" w:type="dxa"/>
            <w:vAlign w:val="bottom"/>
          </w:tcPr>
          <w:p>
            <w:pPr>
              <w:spacing w:after="0"/>
              <w:rPr>
                <w:sz w:val="18"/>
                <w:szCs w:val="18"/>
                <w:color w:val="auto"/>
              </w:rPr>
            </w:pP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Revenue share payable</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1,177,136</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2,495,059</w:t>
            </w:r>
          </w:p>
        </w:tc>
        <w:tc>
          <w:tcPr>
            <w:tcW w:w="60" w:type="dxa"/>
            <w:vAlign w:val="bottom"/>
          </w:tcPr>
          <w:p>
            <w:pPr>
              <w:spacing w:after="0"/>
              <w:rPr>
                <w:sz w:val="18"/>
                <w:szCs w:val="18"/>
                <w:color w:val="auto"/>
              </w:rPr>
            </w:pP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Revenue share payable – related party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447,670</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127,458</w:t>
            </w:r>
          </w:p>
        </w:tc>
        <w:tc>
          <w:tcPr>
            <w:tcW w:w="60" w:type="dxa"/>
            <w:vAlign w:val="bottom"/>
          </w:tcPr>
          <w:p>
            <w:pPr>
              <w:spacing w:after="0"/>
              <w:rPr>
                <w:sz w:val="18"/>
                <w:szCs w:val="18"/>
                <w:color w:val="auto"/>
              </w:rPr>
            </w:pPr>
          </w:p>
        </w:tc>
      </w:tr>
      <w:tr>
        <w:trPr>
          <w:trHeight w:val="251"/>
        </w:trPr>
        <w:tc>
          <w:tcPr>
            <w:tcW w:w="8740" w:type="dxa"/>
            <w:vAlign w:val="bottom"/>
          </w:tcPr>
          <w:p>
            <w:pPr>
              <w:ind w:left="180"/>
              <w:spacing w:after="0"/>
              <w:rPr>
                <w:sz w:val="20"/>
                <w:szCs w:val="20"/>
                <w:color w:val="auto"/>
              </w:rPr>
            </w:pPr>
            <w:r>
              <w:rPr>
                <w:rFonts w:ascii="Arial" w:cs="Arial" w:eastAsia="Arial" w:hAnsi="Arial"/>
                <w:sz w:val="18"/>
                <w:szCs w:val="18"/>
                <w:color w:val="auto"/>
              </w:rPr>
              <w:t>Deferred revenue</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507,160</w:t>
            </w: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386,581</w:t>
            </w:r>
          </w:p>
        </w:tc>
        <w:tc>
          <w:tcPr>
            <w:tcW w:w="60" w:type="dxa"/>
            <w:vAlign w:val="bottom"/>
          </w:tcPr>
          <w:p>
            <w:pPr>
              <w:spacing w:after="0"/>
              <w:rPr>
                <w:sz w:val="21"/>
                <w:szCs w:val="21"/>
                <w:color w:val="auto"/>
              </w:rPr>
            </w:pPr>
          </w:p>
        </w:tc>
      </w:tr>
      <w:tr>
        <w:trPr>
          <w:trHeight w:val="223"/>
        </w:trPr>
        <w:tc>
          <w:tcPr>
            <w:tcW w:w="8740" w:type="dxa"/>
            <w:vAlign w:val="bottom"/>
          </w:tcPr>
          <w:p>
            <w:pPr>
              <w:ind w:left="180"/>
              <w:spacing w:after="0" w:line="203" w:lineRule="exact"/>
              <w:rPr>
                <w:sz w:val="20"/>
                <w:szCs w:val="20"/>
                <w:color w:val="auto"/>
              </w:rPr>
            </w:pPr>
            <w:r>
              <w:rPr>
                <w:rFonts w:ascii="Arial" w:cs="Arial" w:eastAsia="Arial" w:hAnsi="Arial"/>
                <w:sz w:val="18"/>
                <w:szCs w:val="18"/>
                <w:color w:val="auto"/>
              </w:rPr>
              <w:t>Total Liabilities</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3,543,202</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3,666,580</w:t>
            </w:r>
          </w:p>
        </w:tc>
        <w:tc>
          <w:tcPr>
            <w:tcW w:w="60" w:type="dxa"/>
            <w:vAlign w:val="bottom"/>
          </w:tcPr>
          <w:p>
            <w:pPr>
              <w:spacing w:after="0"/>
              <w:rPr>
                <w:sz w:val="19"/>
                <w:szCs w:val="19"/>
                <w:color w:val="auto"/>
              </w:rPr>
            </w:pPr>
          </w:p>
        </w:tc>
      </w:tr>
      <w:tr>
        <w:trPr>
          <w:trHeight w:val="202"/>
        </w:trPr>
        <w:tc>
          <w:tcPr>
            <w:tcW w:w="8740" w:type="dxa"/>
            <w:vAlign w:val="bottom"/>
          </w:tcPr>
          <w:p>
            <w:pPr>
              <w:spacing w:after="0" w:line="201" w:lineRule="exact"/>
              <w:rPr>
                <w:sz w:val="20"/>
                <w:szCs w:val="20"/>
                <w:color w:val="auto"/>
              </w:rPr>
            </w:pPr>
            <w:r>
              <w:rPr>
                <w:rFonts w:ascii="Arial" w:cs="Arial" w:eastAsia="Arial" w:hAnsi="Arial"/>
                <w:sz w:val="18"/>
                <w:szCs w:val="18"/>
                <w:color w:val="auto"/>
              </w:rPr>
              <w:t>Stockholders’ Equity</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w w:val="89"/>
              </w:rPr>
              <w:t>Preferred stock, $0.001 par value, 10,000,000 shares authorized, no issued and outstanding at December 31, 2017 and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2016,</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w w:val="94"/>
              </w:rPr>
              <w:t>Common stock, $0.001 par value, 500,000,000 shares authorized, 29,318,081 and 29,718,867 shares issued and</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40" w:type="dxa"/>
            <w:vAlign w:val="bottom"/>
          </w:tcPr>
          <w:p>
            <w:pPr>
              <w:ind w:left="360"/>
              <w:spacing w:after="0"/>
              <w:rPr>
                <w:sz w:val="20"/>
                <w:szCs w:val="20"/>
                <w:color w:val="auto"/>
              </w:rPr>
            </w:pPr>
            <w:r>
              <w:rPr>
                <w:rFonts w:ascii="Arial" w:cs="Arial" w:eastAsia="Arial" w:hAnsi="Arial"/>
                <w:sz w:val="18"/>
                <w:szCs w:val="18"/>
                <w:color w:val="auto"/>
              </w:rPr>
              <w:t>outstanding at December 31, 2017 and 2016, respectively</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29,318</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29,719</w:t>
            </w:r>
          </w:p>
        </w:tc>
        <w:tc>
          <w:tcPr>
            <w:tcW w:w="60" w:type="dxa"/>
            <w:vAlign w:val="bottom"/>
          </w:tcPr>
          <w:p>
            <w:pPr>
              <w:spacing w:after="0"/>
              <w:rPr>
                <w:sz w:val="18"/>
                <w:szCs w:val="18"/>
                <w:color w:val="auto"/>
              </w:rPr>
            </w:pP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Stock warrants</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1,286,424</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2,294,416</w:t>
            </w:r>
          </w:p>
        </w:tc>
        <w:tc>
          <w:tcPr>
            <w:tcW w:w="60" w:type="dxa"/>
            <w:vAlign w:val="bottom"/>
          </w:tcPr>
          <w:p>
            <w:pPr>
              <w:spacing w:after="0"/>
              <w:rPr>
                <w:sz w:val="18"/>
                <w:szCs w:val="18"/>
                <w:color w:val="auto"/>
              </w:rPr>
            </w:pPr>
          </w:p>
        </w:tc>
      </w:tr>
      <w:tr>
        <w:trPr>
          <w:trHeight w:val="216"/>
        </w:trPr>
        <w:tc>
          <w:tcPr>
            <w:tcW w:w="8740" w:type="dxa"/>
            <w:vAlign w:val="bottom"/>
          </w:tcPr>
          <w:p>
            <w:pPr>
              <w:ind w:left="180"/>
              <w:spacing w:after="0"/>
              <w:rPr>
                <w:sz w:val="20"/>
                <w:szCs w:val="20"/>
                <w:color w:val="auto"/>
              </w:rPr>
            </w:pPr>
            <w:r>
              <w:rPr>
                <w:rFonts w:ascii="Arial" w:cs="Arial" w:eastAsia="Arial" w:hAnsi="Arial"/>
                <w:sz w:val="18"/>
                <w:szCs w:val="18"/>
                <w:color w:val="auto"/>
              </w:rPr>
              <w:t>Additional paid-in-capital</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35,267,919</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33,747,137</w:t>
            </w:r>
          </w:p>
        </w:tc>
        <w:tc>
          <w:tcPr>
            <w:tcW w:w="60" w:type="dxa"/>
            <w:vAlign w:val="bottom"/>
          </w:tcPr>
          <w:p>
            <w:pPr>
              <w:spacing w:after="0"/>
              <w:rPr>
                <w:sz w:val="18"/>
                <w:szCs w:val="18"/>
                <w:color w:val="auto"/>
              </w:rPr>
            </w:pPr>
          </w:p>
        </w:tc>
      </w:tr>
      <w:tr>
        <w:trPr>
          <w:trHeight w:val="251"/>
        </w:trPr>
        <w:tc>
          <w:tcPr>
            <w:tcW w:w="874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w w:val="97"/>
              </w:rPr>
              <w:t>(30,363,122)</w:t>
            </w:r>
          </w:p>
        </w:tc>
        <w:tc>
          <w:tcPr>
            <w:tcW w:w="18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w w:val="97"/>
              </w:rPr>
              <w:t>(28,259,093)</w:t>
            </w:r>
          </w:p>
        </w:tc>
      </w:tr>
      <w:tr>
        <w:trPr>
          <w:trHeight w:val="223"/>
        </w:trPr>
        <w:tc>
          <w:tcPr>
            <w:tcW w:w="8740" w:type="dxa"/>
            <w:vAlign w:val="bottom"/>
          </w:tcPr>
          <w:p>
            <w:pPr>
              <w:spacing w:after="0" w:line="203" w:lineRule="exact"/>
              <w:rPr>
                <w:sz w:val="20"/>
                <w:szCs w:val="20"/>
                <w:color w:val="auto"/>
              </w:rPr>
            </w:pPr>
            <w:r>
              <w:rPr>
                <w:rFonts w:ascii="Arial" w:cs="Arial" w:eastAsia="Arial" w:hAnsi="Arial"/>
                <w:sz w:val="18"/>
                <w:szCs w:val="18"/>
                <w:color w:val="auto"/>
              </w:rPr>
              <w:t>Total Stockholders’ Equity</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6,220,539</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7,812,179</w:t>
            </w:r>
          </w:p>
        </w:tc>
        <w:tc>
          <w:tcPr>
            <w:tcW w:w="60" w:type="dxa"/>
            <w:vAlign w:val="bottom"/>
          </w:tcPr>
          <w:p>
            <w:pPr>
              <w:spacing w:after="0"/>
              <w:rPr>
                <w:sz w:val="19"/>
                <w:szCs w:val="19"/>
                <w:color w:val="auto"/>
              </w:rPr>
            </w:pPr>
          </w:p>
        </w:tc>
      </w:tr>
      <w:tr>
        <w:trPr>
          <w:trHeight w:val="250"/>
        </w:trPr>
        <w:tc>
          <w:tcPr>
            <w:tcW w:w="8740" w:type="dxa"/>
            <w:vAlign w:val="bottom"/>
          </w:tcPr>
          <w:p>
            <w:pPr>
              <w:spacing w:after="0" w:line="203" w:lineRule="exact"/>
              <w:rPr>
                <w:sz w:val="20"/>
                <w:szCs w:val="20"/>
                <w:color w:val="auto"/>
              </w:rPr>
            </w:pPr>
            <w:r>
              <w:rPr>
                <w:rFonts w:ascii="Arial" w:cs="Arial" w:eastAsia="Arial" w:hAnsi="Arial"/>
                <w:sz w:val="18"/>
                <w:szCs w:val="18"/>
                <w:color w:val="auto"/>
              </w:rPr>
              <w:t>TOTAL LIABILITIES AND STOCKHOLDERS’ EQUITY</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9,763,741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11,478,759</w:t>
            </w:r>
          </w:p>
        </w:tc>
        <w:tc>
          <w:tcPr>
            <w:tcW w:w="60" w:type="dxa"/>
            <w:vAlign w:val="bottom"/>
          </w:tcPr>
          <w:p>
            <w:pPr>
              <w:spacing w:after="0"/>
              <w:rPr>
                <w:sz w:val="21"/>
                <w:szCs w:val="21"/>
                <w:color w:val="auto"/>
              </w:rPr>
            </w:pPr>
          </w:p>
        </w:tc>
      </w:tr>
      <w:tr>
        <w:trPr>
          <w:trHeight w:val="21"/>
        </w:trPr>
        <w:tc>
          <w:tcPr>
            <w:tcW w:w="8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type w:val="continuous"/>
        </w:sectPr>
      </w:pPr>
    </w:p>
    <w:bookmarkStart w:id="24" w:name="page25"/>
    <w:bookmarkEnd w:id="24"/>
    <w:p>
      <w:pPr>
        <w:jc w:val="center"/>
        <w:ind w:right="-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Consolidated Statements of Operations for the Years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Ended December 31, 2017 and 2016</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For the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20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center"/>
              <w:ind w:right="300"/>
              <w:spacing w:after="0"/>
              <w:rPr>
                <w:sz w:val="20"/>
                <w:szCs w:val="20"/>
                <w:color w:val="auto"/>
              </w:rPr>
            </w:pPr>
            <w:r>
              <w:rPr>
                <w:rFonts w:ascii="Arial" w:cs="Arial" w:eastAsia="Arial" w:hAnsi="Arial"/>
                <w:sz w:val="18"/>
                <w:szCs w:val="18"/>
                <w:color w:val="auto"/>
                <w:w w:val="86"/>
              </w:rPr>
              <w:t>year ended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gridSpan w:val="3"/>
          </w:tcPr>
          <w:p>
            <w:pPr>
              <w:jc w:val="center"/>
              <w:ind w:right="180"/>
              <w:spacing w:after="0"/>
              <w:rPr>
                <w:sz w:val="20"/>
                <w:szCs w:val="20"/>
                <w:color w:val="auto"/>
              </w:rPr>
            </w:pPr>
            <w:r>
              <w:rPr>
                <w:rFonts w:ascii="Arial" w:cs="Arial" w:eastAsia="Arial" w:hAnsi="Arial"/>
                <w:sz w:val="18"/>
                <w:szCs w:val="18"/>
                <w:color w:val="auto"/>
                <w:w w:val="86"/>
              </w:rPr>
              <w:t>year ended</w:t>
            </w:r>
          </w:p>
        </w:tc>
        <w:tc>
          <w:tcPr>
            <w:tcW w:w="0" w:type="dxa"/>
            <w:vAlign w:val="bottom"/>
          </w:tcPr>
          <w:p>
            <w:pPr>
              <w:spacing w:after="0"/>
              <w:rPr>
                <w:sz w:val="1"/>
                <w:szCs w:val="1"/>
                <w:color w:val="auto"/>
              </w:rPr>
            </w:pPr>
          </w:p>
        </w:tc>
      </w:tr>
      <w:tr>
        <w:trPr>
          <w:trHeight w:val="216"/>
        </w:trPr>
        <w:tc>
          <w:tcPr>
            <w:tcW w:w="7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360" w:type="dxa"/>
            <w:vAlign w:val="bottom"/>
            <w:gridSpan w:val="3"/>
          </w:tcPr>
          <w:p>
            <w:pPr>
              <w:jc w:val="center"/>
              <w:ind w:right="200"/>
              <w:spacing w:after="0"/>
              <w:rPr>
                <w:sz w:val="20"/>
                <w:szCs w:val="20"/>
                <w:color w:val="auto"/>
              </w:rPr>
            </w:pPr>
            <w:r>
              <w:rPr>
                <w:rFonts w:ascii="Arial" w:cs="Arial" w:eastAsia="Arial" w:hAnsi="Arial"/>
                <w:sz w:val="18"/>
                <w:szCs w:val="18"/>
                <w:color w:val="auto"/>
                <w:w w:val="88"/>
              </w:rPr>
              <w:t>December 31,</w:t>
            </w:r>
          </w:p>
        </w:tc>
        <w:tc>
          <w:tcPr>
            <w:tcW w:w="20" w:type="dxa"/>
            <w:vAlign w:val="bottom"/>
          </w:tcPr>
          <w:p>
            <w:pPr>
              <w:spacing w:after="0"/>
              <w:rPr>
                <w:sz w:val="18"/>
                <w:szCs w:val="18"/>
                <w:color w:val="auto"/>
              </w:rPr>
            </w:pPr>
          </w:p>
        </w:tc>
        <w:tc>
          <w:tcPr>
            <w:tcW w:w="1180" w:type="dxa"/>
            <w:vAlign w:val="bottom"/>
            <w:gridSpan w:val="4"/>
          </w:tcPr>
          <w:p>
            <w:pPr>
              <w:jc w:val="center"/>
              <w:ind w:right="1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7"/>
        </w:trPr>
        <w:tc>
          <w:tcPr>
            <w:tcW w:w="77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color w:val="auto"/>
                <w:w w:val="89"/>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7740" w:type="dxa"/>
            <w:vAlign w:val="bottom"/>
          </w:tcPr>
          <w:p>
            <w:pPr>
              <w:spacing w:after="0"/>
              <w:rPr>
                <w:sz w:val="20"/>
                <w:szCs w:val="20"/>
                <w:color w:val="auto"/>
              </w:rPr>
            </w:pPr>
            <w:r>
              <w:rPr>
                <w:rFonts w:ascii="Arial" w:cs="Arial" w:eastAsia="Arial" w:hAnsi="Arial"/>
                <w:sz w:val="18"/>
                <w:szCs w:val="18"/>
                <w:color w:val="auto"/>
              </w:rPr>
              <w:t>NET REVENUE</w:t>
            </w: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Revenue</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8,431,208</w:t>
            </w: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6,209,051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740" w:type="dxa"/>
            <w:vAlign w:val="bottom"/>
          </w:tcPr>
          <w:p>
            <w:pPr>
              <w:ind w:left="360"/>
              <w:spacing w:after="0"/>
              <w:rPr>
                <w:sz w:val="20"/>
                <w:szCs w:val="20"/>
                <w:color w:val="auto"/>
              </w:rPr>
            </w:pPr>
            <w:r>
              <w:rPr>
                <w:rFonts w:ascii="Arial" w:cs="Arial" w:eastAsia="Arial" w:hAnsi="Arial"/>
                <w:sz w:val="18"/>
                <w:szCs w:val="18"/>
                <w:color w:val="auto"/>
              </w:rPr>
              <w:t>Revenue – related party</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3,696,214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1,542,411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7740" w:type="dxa"/>
            <w:vAlign w:val="bottom"/>
          </w:tcPr>
          <w:p>
            <w:pPr>
              <w:ind w:left="180"/>
              <w:spacing w:after="0" w:line="201" w:lineRule="exact"/>
              <w:rPr>
                <w:sz w:val="20"/>
                <w:szCs w:val="20"/>
                <w:color w:val="auto"/>
              </w:rPr>
            </w:pPr>
            <w:r>
              <w:rPr>
                <w:rFonts w:ascii="Arial" w:cs="Arial" w:eastAsia="Arial" w:hAnsi="Arial"/>
                <w:sz w:val="18"/>
                <w:szCs w:val="18"/>
                <w:color w:val="auto"/>
              </w:rPr>
              <w:t>TOTAL NET REVENUE</w:t>
            </w:r>
          </w:p>
        </w:tc>
        <w:tc>
          <w:tcPr>
            <w:tcW w:w="1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12,127,422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7,751,462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740" w:type="dxa"/>
            <w:vAlign w:val="bottom"/>
          </w:tcPr>
          <w:p>
            <w:pPr>
              <w:ind w:left="180"/>
              <w:spacing w:after="0"/>
              <w:rPr>
                <w:sz w:val="20"/>
                <w:szCs w:val="20"/>
                <w:color w:val="auto"/>
              </w:rPr>
            </w:pPr>
            <w:r>
              <w:rPr>
                <w:rFonts w:ascii="Arial" w:cs="Arial" w:eastAsia="Arial" w:hAnsi="Arial"/>
                <w:sz w:val="18"/>
                <w:szCs w:val="18"/>
                <w:color w:val="auto"/>
              </w:rPr>
              <w:t>REVENUE SHARE EXPENSE</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6,174,614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3,411,396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180"/>
              <w:spacing w:after="0" w:line="203" w:lineRule="exact"/>
              <w:rPr>
                <w:sz w:val="20"/>
                <w:szCs w:val="20"/>
                <w:color w:val="auto"/>
              </w:rPr>
            </w:pPr>
            <w:r>
              <w:rPr>
                <w:rFonts w:ascii="Arial" w:cs="Arial" w:eastAsia="Arial" w:hAnsi="Arial"/>
                <w:sz w:val="18"/>
                <w:szCs w:val="18"/>
                <w:color w:val="auto"/>
              </w:rPr>
              <w:t>GROSS MARGIN</w:t>
            </w:r>
          </w:p>
        </w:tc>
        <w:tc>
          <w:tcPr>
            <w:tcW w:w="10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5,952,808</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4,340,066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740" w:type="dxa"/>
            <w:vAlign w:val="bottom"/>
          </w:tcPr>
          <w:p>
            <w:pPr>
              <w:spacing w:after="0" w:line="201" w:lineRule="exact"/>
              <w:rPr>
                <w:sz w:val="20"/>
                <w:szCs w:val="20"/>
                <w:color w:val="auto"/>
              </w:rPr>
            </w:pPr>
            <w:r>
              <w:rPr>
                <w:rFonts w:ascii="Arial" w:cs="Arial" w:eastAsia="Arial" w:hAnsi="Arial"/>
                <w:sz w:val="18"/>
                <w:szCs w:val="18"/>
                <w:color w:val="auto"/>
              </w:rPr>
              <w:t>EXPENSES</w:t>
            </w:r>
          </w:p>
        </w:tc>
        <w:tc>
          <w:tcPr>
            <w:tcW w:w="1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180"/>
              <w:spacing w:after="0"/>
              <w:rPr>
                <w:sz w:val="20"/>
                <w:szCs w:val="20"/>
                <w:color w:val="auto"/>
              </w:rPr>
            </w:pPr>
            <w:r>
              <w:rPr>
                <w:rFonts w:ascii="Arial" w:cs="Arial" w:eastAsia="Arial" w:hAnsi="Arial"/>
                <w:sz w:val="18"/>
                <w:szCs w:val="18"/>
                <w:color w:val="auto"/>
              </w:rPr>
              <w:t>Operating expenses</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Stock-based compensation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902,389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559,301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Depreciation and amortization</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324,551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235,284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Pr>
          <w:p>
            <w:pPr>
              <w:ind w:left="360"/>
              <w:spacing w:after="0"/>
              <w:rPr>
                <w:sz w:val="20"/>
                <w:szCs w:val="20"/>
                <w:color w:val="auto"/>
              </w:rPr>
            </w:pPr>
            <w:r>
              <w:rPr>
                <w:rFonts w:ascii="Arial" w:cs="Arial" w:eastAsia="Arial" w:hAnsi="Arial"/>
                <w:sz w:val="18"/>
                <w:szCs w:val="18"/>
                <w:color w:val="auto"/>
              </w:rPr>
              <w:t>Lawsuit settlement</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7740" w:type="dxa"/>
            <w:vAlign w:val="bottom"/>
          </w:tcPr>
          <w:p>
            <w:pPr>
              <w:ind w:left="360"/>
              <w:spacing w:after="0"/>
              <w:rPr>
                <w:sz w:val="20"/>
                <w:szCs w:val="20"/>
                <w:color w:val="auto"/>
              </w:rPr>
            </w:pPr>
            <w:r>
              <w:rPr>
                <w:rFonts w:ascii="Arial" w:cs="Arial" w:eastAsia="Arial" w:hAnsi="Arial"/>
                <w:sz w:val="18"/>
                <w:szCs w:val="18"/>
                <w:color w:val="auto"/>
              </w:rPr>
              <w:t>Other general and administrative expenses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6,855,834</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5,076,993</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180"/>
              <w:spacing w:after="0" w:line="203" w:lineRule="exact"/>
              <w:rPr>
                <w:sz w:val="20"/>
                <w:szCs w:val="20"/>
                <w:color w:val="auto"/>
              </w:rPr>
            </w:pPr>
            <w:r>
              <w:rPr>
                <w:rFonts w:ascii="Arial" w:cs="Arial" w:eastAsia="Arial" w:hAnsi="Arial"/>
                <w:sz w:val="18"/>
                <w:szCs w:val="18"/>
                <w:color w:val="auto"/>
              </w:rPr>
              <w:t>Total Operating expenses</w:t>
            </w:r>
          </w:p>
        </w:tc>
        <w:tc>
          <w:tcPr>
            <w:tcW w:w="10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8,082,774</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5,921,578</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180"/>
              <w:spacing w:after="0" w:line="203" w:lineRule="exact"/>
              <w:rPr>
                <w:sz w:val="20"/>
                <w:szCs w:val="20"/>
                <w:color w:val="auto"/>
              </w:rPr>
            </w:pPr>
            <w:r>
              <w:rPr>
                <w:rFonts w:ascii="Arial" w:cs="Arial" w:eastAsia="Arial" w:hAnsi="Arial"/>
                <w:sz w:val="18"/>
                <w:szCs w:val="18"/>
                <w:color w:val="auto"/>
              </w:rPr>
              <w:t>LOSS FROM OPERATIONS</w:t>
            </w: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(2,129,966</w:t>
            </w:r>
          </w:p>
        </w:tc>
        <w:tc>
          <w:tcPr>
            <w:tcW w:w="220" w:type="dxa"/>
            <w:vAlign w:val="bottom"/>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(1,581,512</w:t>
            </w:r>
          </w:p>
        </w:tc>
        <w:tc>
          <w:tcPr>
            <w:tcW w:w="40" w:type="dxa"/>
            <w:vAlign w:val="bottom"/>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2"/>
        </w:trPr>
        <w:tc>
          <w:tcPr>
            <w:tcW w:w="7740" w:type="dxa"/>
            <w:vAlign w:val="bottom"/>
          </w:tcPr>
          <w:p>
            <w:pPr>
              <w:spacing w:after="0" w:line="201" w:lineRule="exact"/>
              <w:rPr>
                <w:sz w:val="20"/>
                <w:szCs w:val="20"/>
                <w:color w:val="auto"/>
              </w:rPr>
            </w:pPr>
            <w:r>
              <w:rPr>
                <w:rFonts w:ascii="Arial" w:cs="Arial" w:eastAsia="Arial" w:hAnsi="Arial"/>
                <w:sz w:val="18"/>
                <w:szCs w:val="18"/>
                <w:color w:val="auto"/>
              </w:rPr>
              <w:t>OTHER INCOME</w:t>
            </w:r>
          </w:p>
        </w:tc>
        <w:tc>
          <w:tcPr>
            <w:tcW w:w="10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7740" w:type="dxa"/>
            <w:vAlign w:val="bottom"/>
          </w:tcPr>
          <w:p>
            <w:pPr>
              <w:ind w:left="180"/>
              <w:spacing w:after="0"/>
              <w:rPr>
                <w:sz w:val="20"/>
                <w:szCs w:val="20"/>
                <w:color w:val="auto"/>
              </w:rPr>
            </w:pPr>
            <w:r>
              <w:rPr>
                <w:rFonts w:ascii="Arial" w:cs="Arial" w:eastAsia="Arial" w:hAnsi="Arial"/>
                <w:sz w:val="18"/>
                <w:szCs w:val="18"/>
                <w:color w:val="auto"/>
              </w:rPr>
              <w:t>Interest income</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25,937</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42,309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740" w:type="dxa"/>
            <w:vAlign w:val="bottom"/>
          </w:tcPr>
          <w:p>
            <w:pPr>
              <w:ind w:left="180"/>
              <w:spacing w:after="0" w:line="203" w:lineRule="exact"/>
              <w:rPr>
                <w:sz w:val="20"/>
                <w:szCs w:val="20"/>
                <w:color w:val="auto"/>
              </w:rPr>
            </w:pPr>
            <w:r>
              <w:rPr>
                <w:rFonts w:ascii="Arial" w:cs="Arial" w:eastAsia="Arial" w:hAnsi="Arial"/>
                <w:sz w:val="18"/>
                <w:szCs w:val="18"/>
                <w:color w:val="auto"/>
              </w:rPr>
              <w:t>TOTAL OTHER INCOME</w:t>
            </w:r>
          </w:p>
        </w:tc>
        <w:tc>
          <w:tcPr>
            <w:tcW w:w="10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25,937</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42,309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7740" w:type="dxa"/>
            <w:vAlign w:val="bottom"/>
          </w:tcPr>
          <w:p>
            <w:pPr>
              <w:ind w:left="180"/>
              <w:spacing w:after="0" w:line="201" w:lineRule="exact"/>
              <w:rPr>
                <w:sz w:val="20"/>
                <w:szCs w:val="20"/>
                <w:color w:val="auto"/>
              </w:rPr>
            </w:pPr>
            <w:r>
              <w:rPr>
                <w:rFonts w:ascii="Arial" w:cs="Arial" w:eastAsia="Arial" w:hAnsi="Arial"/>
                <w:sz w:val="18"/>
                <w:szCs w:val="18"/>
                <w:color w:val="auto"/>
              </w:rPr>
              <w:t>LOSS BEFORE PROVISION FOR INCOME TAXES</w:t>
            </w: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right"/>
              <w:spacing w:after="0" w:line="201" w:lineRule="exact"/>
              <w:rPr>
                <w:sz w:val="20"/>
                <w:szCs w:val="20"/>
                <w:color w:val="auto"/>
              </w:rPr>
            </w:pPr>
            <w:r>
              <w:rPr>
                <w:rFonts w:ascii="Arial" w:cs="Arial" w:eastAsia="Arial" w:hAnsi="Arial"/>
                <w:sz w:val="18"/>
                <w:szCs w:val="18"/>
                <w:color w:val="auto"/>
              </w:rPr>
              <w:t>(2,104,029)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gridSpan w:val="2"/>
          </w:tcPr>
          <w:p>
            <w:pPr>
              <w:jc w:val="right"/>
              <w:ind w:right="20"/>
              <w:spacing w:after="0" w:line="201" w:lineRule="exact"/>
              <w:rPr>
                <w:sz w:val="20"/>
                <w:szCs w:val="20"/>
                <w:color w:val="auto"/>
              </w:rPr>
            </w:pPr>
            <w:r>
              <w:rPr>
                <w:rFonts w:ascii="Arial" w:cs="Arial" w:eastAsia="Arial" w:hAnsi="Arial"/>
                <w:sz w:val="18"/>
                <w:szCs w:val="18"/>
                <w:color w:val="auto"/>
              </w:rPr>
              <w:t>(1,539,203)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77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740" w:type="dxa"/>
            <w:vAlign w:val="bottom"/>
            <w:vMerge w:val="restart"/>
          </w:tcPr>
          <w:p>
            <w:pPr>
              <w:ind w:left="180"/>
              <w:spacing w:after="0"/>
              <w:rPr>
                <w:sz w:val="20"/>
                <w:szCs w:val="20"/>
                <w:color w:val="auto"/>
              </w:rPr>
            </w:pPr>
            <w:r>
              <w:rPr>
                <w:rFonts w:ascii="Arial" w:cs="Arial" w:eastAsia="Arial" w:hAnsi="Arial"/>
                <w:sz w:val="18"/>
                <w:szCs w:val="18"/>
                <w:color w:val="auto"/>
              </w:rPr>
              <w:t>NET LOSS</w:t>
            </w:r>
          </w:p>
        </w:tc>
        <w:tc>
          <w:tcPr>
            <w:tcW w:w="10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gridSpan w:val="2"/>
            <w:shd w:val="clear" w:color="auto" w:fill="000000"/>
          </w:tcPr>
          <w:p>
            <w:pPr>
              <w:spacing w:after="0"/>
              <w:rPr>
                <w:sz w:val="2"/>
                <w:szCs w:val="2"/>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line="20" w:lineRule="exact"/>
              <w:rPr>
                <w:sz w:val="1"/>
                <w:szCs w:val="1"/>
                <w:color w:val="auto"/>
              </w:rPr>
            </w:pPr>
          </w:p>
        </w:tc>
      </w:tr>
      <w:tr>
        <w:trPr>
          <w:trHeight w:val="250"/>
        </w:trPr>
        <w:tc>
          <w:tcPr>
            <w:tcW w:w="7740" w:type="dxa"/>
            <w:vAlign w:val="bottom"/>
            <w:vMerge w:val="continue"/>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(2,104,029</w:t>
            </w:r>
          </w:p>
        </w:tc>
        <w:tc>
          <w:tcPr>
            <w:tcW w:w="220" w:type="dxa"/>
            <w:vAlign w:val="bottom"/>
            <w:vMerge w:val="continue"/>
          </w:tcPr>
          <w:p>
            <w:pPr>
              <w:spacing w:after="0"/>
              <w:rPr>
                <w:sz w:val="21"/>
                <w:szCs w:val="21"/>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(1,539,203</w:t>
            </w:r>
          </w:p>
        </w:tc>
        <w:tc>
          <w:tcPr>
            <w:tcW w:w="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7740" w:type="dxa"/>
            <w:vAlign w:val="bottom"/>
            <w:vMerge w:val="restart"/>
          </w:tcPr>
          <w:p>
            <w:pPr>
              <w:spacing w:after="0"/>
              <w:rPr>
                <w:sz w:val="20"/>
                <w:szCs w:val="20"/>
                <w:color w:val="auto"/>
              </w:rPr>
            </w:pPr>
            <w:r>
              <w:rPr>
                <w:rFonts w:ascii="Arial" w:cs="Arial" w:eastAsia="Arial" w:hAnsi="Arial"/>
                <w:sz w:val="18"/>
                <w:szCs w:val="18"/>
                <w:color w:val="auto"/>
              </w:rPr>
              <w:t>WEIGHTED AVERAGE NUMBER OF SHARES OUTSTANDING: BASIC &amp; DILUTIVE</w:t>
            </w:r>
          </w:p>
        </w:tc>
        <w:tc>
          <w:tcPr>
            <w:tcW w:w="10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10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104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3"/>
        </w:trPr>
        <w:tc>
          <w:tcPr>
            <w:tcW w:w="77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29,459,259</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29,707,918</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740" w:type="dxa"/>
            <w:vAlign w:val="bottom"/>
            <w:vMerge w:val="restart"/>
          </w:tcPr>
          <w:p>
            <w:pPr>
              <w:spacing w:after="0"/>
              <w:rPr>
                <w:sz w:val="20"/>
                <w:szCs w:val="20"/>
                <w:color w:val="auto"/>
              </w:rPr>
            </w:pPr>
            <w:r>
              <w:rPr>
                <w:rFonts w:ascii="Arial" w:cs="Arial" w:eastAsia="Arial" w:hAnsi="Arial"/>
                <w:sz w:val="18"/>
                <w:szCs w:val="18"/>
                <w:color w:val="auto"/>
              </w:rPr>
              <w:t>NET LOSS PER SHARE: BASIC &amp; DILUTIVE</w:t>
            </w:r>
          </w:p>
        </w:tc>
        <w:tc>
          <w:tcPr>
            <w:tcW w:w="120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120" w:type="dxa"/>
            <w:vAlign w:val="bottom"/>
            <w:gridSpan w:val="2"/>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40" w:type="dxa"/>
            <w:vAlign w:val="bottom"/>
            <w:vMerge w:val="restart"/>
          </w:tcPr>
          <w:p>
            <w:pPr>
              <w:jc w:val="right"/>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23"/>
        </w:trPr>
        <w:tc>
          <w:tcPr>
            <w:tcW w:w="7740" w:type="dxa"/>
            <w:vAlign w:val="bottom"/>
            <w:vMerge w:val="continue"/>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(0.07</w:t>
            </w:r>
          </w:p>
        </w:tc>
        <w:tc>
          <w:tcPr>
            <w:tcW w:w="220" w:type="dxa"/>
            <w:vAlign w:val="bottom"/>
            <w:vMerge w:val="continue"/>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(0.05</w:t>
            </w:r>
          </w:p>
        </w:tc>
        <w:tc>
          <w:tcPr>
            <w:tcW w:w="20" w:type="dxa"/>
            <w:vAlign w:val="bottom"/>
            <w:tcBorders>
              <w:bottom w:val="single" w:sz="8" w:color="auto"/>
            </w:tcBorders>
          </w:tcPr>
          <w:p>
            <w:pPr>
              <w:spacing w:after="0"/>
              <w:rPr>
                <w:sz w:val="19"/>
                <w:szCs w:val="19"/>
                <w:color w:val="auto"/>
              </w:rPr>
            </w:pPr>
          </w:p>
        </w:tc>
        <w:tc>
          <w:tcPr>
            <w:tcW w:w="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77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sectPr>
      </w:pPr>
    </w:p>
    <w:bookmarkStart w:id="25" w:name="page26"/>
    <w:bookmarkEnd w:id="2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Balance,</w:t>
      </w:r>
    </w:p>
    <w:p>
      <w:pPr>
        <w:spacing w:after="0" w:line="221" w:lineRule="auto"/>
        <w:rPr>
          <w:sz w:val="20"/>
          <w:szCs w:val="20"/>
          <w:color w:val="auto"/>
        </w:rPr>
      </w:pPr>
      <w:r>
        <w:rPr>
          <w:rFonts w:ascii="Arial" w:cs="Arial" w:eastAsia="Arial" w:hAnsi="Arial"/>
          <w:sz w:val="14"/>
          <w:szCs w:val="14"/>
          <w:color w:val="auto"/>
        </w:rPr>
        <w:t>December 31, 2015</w:t>
      </w:r>
    </w:p>
    <w:p>
      <w:pPr>
        <w:spacing w:after="0"/>
        <w:rPr>
          <w:sz w:val="20"/>
          <w:szCs w:val="20"/>
          <w:color w:val="auto"/>
        </w:rPr>
      </w:pPr>
      <w:r>
        <w:rPr>
          <w:rFonts w:ascii="Arial" w:cs="Arial" w:eastAsia="Arial" w:hAnsi="Arial"/>
          <w:sz w:val="13"/>
          <w:szCs w:val="13"/>
          <w:color w:val="auto"/>
        </w:rPr>
        <w:t>Issuance of stock options to</w:t>
      </w:r>
    </w:p>
    <w:p>
      <w:pPr>
        <w:spacing w:after="0" w:line="221" w:lineRule="auto"/>
        <w:rPr>
          <w:sz w:val="20"/>
          <w:szCs w:val="20"/>
          <w:color w:val="auto"/>
        </w:rPr>
      </w:pPr>
      <w:r>
        <w:rPr>
          <w:rFonts w:ascii="Arial" w:cs="Arial" w:eastAsia="Arial" w:hAnsi="Arial"/>
          <w:sz w:val="14"/>
          <w:szCs w:val="14"/>
          <w:color w:val="auto"/>
        </w:rPr>
        <w:t>employees</w:t>
      </w:r>
    </w:p>
    <w:p>
      <w:pPr>
        <w:spacing w:after="0"/>
        <w:rPr>
          <w:sz w:val="20"/>
          <w:szCs w:val="20"/>
          <w:color w:val="auto"/>
        </w:rPr>
      </w:pPr>
      <w:r>
        <w:rPr>
          <w:rFonts w:ascii="Arial" w:cs="Arial" w:eastAsia="Arial" w:hAnsi="Arial"/>
          <w:sz w:val="13"/>
          <w:szCs w:val="13"/>
          <w:color w:val="auto"/>
        </w:rPr>
        <w:t>Issuance of common stock:</w:t>
      </w:r>
    </w:p>
    <w:p>
      <w:pPr>
        <w:ind w:left="180"/>
        <w:spacing w:after="0" w:line="221" w:lineRule="auto"/>
        <w:rPr>
          <w:sz w:val="20"/>
          <w:szCs w:val="20"/>
          <w:color w:val="auto"/>
        </w:rPr>
      </w:pPr>
      <w:r>
        <w:rPr>
          <w:rFonts w:ascii="Arial" w:cs="Arial" w:eastAsia="Arial" w:hAnsi="Arial"/>
          <w:sz w:val="14"/>
          <w:szCs w:val="14"/>
          <w:color w:val="auto"/>
        </w:rPr>
        <w:t>for services</w:t>
      </w:r>
    </w:p>
    <w:p>
      <w:pPr>
        <w:ind w:left="180"/>
        <w:spacing w:after="0" w:line="221" w:lineRule="auto"/>
        <w:rPr>
          <w:sz w:val="20"/>
          <w:szCs w:val="20"/>
          <w:color w:val="auto"/>
        </w:rPr>
      </w:pPr>
      <w:r>
        <w:rPr>
          <w:rFonts w:ascii="Arial" w:cs="Arial" w:eastAsia="Arial" w:hAnsi="Arial"/>
          <w:sz w:val="14"/>
          <w:szCs w:val="14"/>
          <w:color w:val="auto"/>
        </w:rPr>
        <w:t>for cash</w:t>
      </w:r>
    </w:p>
    <w:p>
      <w:pPr>
        <w:ind w:left="180"/>
        <w:spacing w:after="0" w:line="222" w:lineRule="auto"/>
        <w:rPr>
          <w:sz w:val="20"/>
          <w:szCs w:val="20"/>
          <w:color w:val="auto"/>
        </w:rPr>
      </w:pPr>
      <w:r>
        <w:rPr>
          <w:rFonts w:ascii="Arial" w:cs="Arial" w:eastAsia="Arial" w:hAnsi="Arial"/>
          <w:sz w:val="14"/>
          <w:szCs w:val="14"/>
          <w:color w:val="auto"/>
        </w:rPr>
        <w:t>for options</w:t>
      </w:r>
    </w:p>
    <w:p>
      <w:pPr>
        <w:ind w:right="120" w:firstLine="162"/>
        <w:spacing w:after="0" w:line="221" w:lineRule="auto"/>
        <w:rPr>
          <w:sz w:val="20"/>
          <w:szCs w:val="20"/>
          <w:color w:val="auto"/>
        </w:rPr>
      </w:pPr>
      <w:r>
        <w:rPr>
          <w:rFonts w:ascii="Arial" w:cs="Arial" w:eastAsia="Arial" w:hAnsi="Arial"/>
          <w:sz w:val="14"/>
          <w:szCs w:val="14"/>
          <w:color w:val="auto"/>
        </w:rPr>
        <w:t>for litigation settlement Issue shares for stock payable</w:t>
      </w:r>
    </w:p>
    <w:p>
      <w:pPr>
        <w:spacing w:after="0" w:line="1" w:lineRule="exact"/>
        <w:rPr>
          <w:sz w:val="20"/>
          <w:szCs w:val="20"/>
          <w:color w:val="auto"/>
        </w:rPr>
      </w:pPr>
    </w:p>
    <w:p>
      <w:pPr>
        <w:ind w:right="160"/>
        <w:spacing w:after="0" w:line="221" w:lineRule="auto"/>
        <w:rPr>
          <w:sz w:val="20"/>
          <w:szCs w:val="20"/>
          <w:color w:val="auto"/>
        </w:rPr>
      </w:pPr>
      <w:r>
        <w:rPr>
          <w:rFonts w:ascii="Arial" w:cs="Arial" w:eastAsia="Arial" w:hAnsi="Arial"/>
          <w:sz w:val="14"/>
          <w:szCs w:val="14"/>
          <w:color w:val="auto"/>
        </w:rPr>
        <w:t>Shares payable redeemed for cash</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Expiration of Warrants Expense consulting services Net loss for the year</w:t>
      </w:r>
    </w:p>
    <w:p>
      <w:pPr>
        <w:spacing w:after="0" w:line="231" w:lineRule="auto"/>
        <w:rPr>
          <w:sz w:val="20"/>
          <w:szCs w:val="20"/>
          <w:color w:val="auto"/>
        </w:rPr>
      </w:pPr>
      <w:r>
        <w:rPr>
          <w:rFonts w:ascii="Arial" w:cs="Arial" w:eastAsia="Arial" w:hAnsi="Arial"/>
          <w:sz w:val="14"/>
          <w:szCs w:val="14"/>
          <w:color w:val="auto"/>
        </w:rPr>
        <w:t>Balance,</w:t>
      </w:r>
    </w:p>
    <w:p>
      <w:pPr>
        <w:spacing w:after="0"/>
        <w:rPr>
          <w:sz w:val="20"/>
          <w:szCs w:val="20"/>
          <w:color w:val="auto"/>
        </w:rPr>
      </w:pPr>
      <w:r>
        <w:rPr>
          <w:rFonts w:ascii="Arial" w:cs="Arial" w:eastAsia="Arial" w:hAnsi="Arial"/>
          <w:sz w:val="14"/>
          <w:szCs w:val="14"/>
          <w:color w:val="auto"/>
        </w:rPr>
        <w:t>December 31, 2016</w:t>
      </w:r>
    </w:p>
    <w:p>
      <w:pPr>
        <w:spacing w:after="0" w:line="20" w:lineRule="exact"/>
        <w:rPr>
          <w:sz w:val="20"/>
          <w:szCs w:val="20"/>
          <w:color w:val="auto"/>
        </w:rPr>
      </w:pPr>
      <w:r>
        <w:rPr>
          <w:sz w:val="20"/>
          <w:szCs w:val="20"/>
          <w:color w:val="auto"/>
        </w:rPr>
        <w:br w:type="column"/>
      </w:r>
    </w:p>
    <w:p>
      <w:pPr>
        <w:jc w:val="center"/>
        <w:ind w:right="170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700"/>
        <w:spacing w:after="0"/>
        <w:rPr>
          <w:sz w:val="20"/>
          <w:szCs w:val="20"/>
          <w:color w:val="auto"/>
        </w:rPr>
      </w:pPr>
      <w:r>
        <w:rPr>
          <w:rFonts w:ascii="Arial" w:cs="Arial" w:eastAsia="Arial" w:hAnsi="Arial"/>
          <w:sz w:val="18"/>
          <w:szCs w:val="18"/>
          <w:b w:val="1"/>
          <w:bCs w:val="1"/>
          <w:color w:val="auto"/>
        </w:rPr>
        <w:t>Consolidated Statement of Stockholders’ Equity for the Year</w:t>
      </w:r>
    </w:p>
    <w:p>
      <w:pPr>
        <w:spacing w:after="0" w:line="9" w:lineRule="exact"/>
        <w:rPr>
          <w:sz w:val="20"/>
          <w:szCs w:val="20"/>
          <w:color w:val="auto"/>
        </w:rPr>
      </w:pPr>
    </w:p>
    <w:p>
      <w:pPr>
        <w:jc w:val="center"/>
        <w:ind w:right="1700"/>
        <w:spacing w:after="0"/>
        <w:rPr>
          <w:sz w:val="20"/>
          <w:szCs w:val="20"/>
          <w:color w:val="auto"/>
        </w:rPr>
      </w:pPr>
      <w:r>
        <w:rPr>
          <w:rFonts w:ascii="Arial" w:cs="Arial" w:eastAsia="Arial" w:hAnsi="Arial"/>
          <w:sz w:val="18"/>
          <w:szCs w:val="18"/>
          <w:b w:val="1"/>
          <w:bCs w:val="1"/>
          <w:color w:val="auto"/>
        </w:rPr>
        <w:t>Ended December 31, 2016</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Preferred</w:t>
            </w:r>
          </w:p>
        </w:tc>
        <w:tc>
          <w:tcPr>
            <w:tcW w:w="760" w:type="dxa"/>
            <w:vAlign w:val="bottom"/>
          </w:tcPr>
          <w:p>
            <w:pPr>
              <w:jc w:val="right"/>
              <w:spacing w:after="0"/>
              <w:rPr>
                <w:sz w:val="20"/>
                <w:szCs w:val="20"/>
                <w:color w:val="auto"/>
              </w:rPr>
            </w:pPr>
            <w:r>
              <w:rPr>
                <w:rFonts w:ascii="Arial" w:cs="Arial" w:eastAsia="Arial" w:hAnsi="Arial"/>
                <w:sz w:val="14"/>
                <w:szCs w:val="14"/>
                <w:color w:val="auto"/>
              </w:rPr>
              <w:t>Preferred</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color w:val="auto"/>
              </w:rPr>
              <w:t>Common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Common</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Additional</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color w:val="auto"/>
              </w:rPr>
              <w:t>Deferred</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r>
      <w:tr>
        <w:trPr>
          <w:trHeight w:val="149"/>
        </w:trPr>
        <w:tc>
          <w:tcPr>
            <w:tcW w:w="940" w:type="dxa"/>
            <w:vAlign w:val="bottom"/>
            <w:gridSpan w:val="2"/>
          </w:tcPr>
          <w:p>
            <w:pPr>
              <w:jc w:val="center"/>
              <w:ind w:right="100"/>
              <w:spacing w:after="0" w:line="149" w:lineRule="exact"/>
              <w:rPr>
                <w:sz w:val="20"/>
                <w:szCs w:val="20"/>
                <w:color w:val="auto"/>
              </w:rPr>
            </w:pPr>
            <w:r>
              <w:rPr>
                <w:rFonts w:ascii="Arial" w:cs="Arial" w:eastAsia="Arial" w:hAnsi="Arial"/>
                <w:sz w:val="14"/>
                <w:szCs w:val="14"/>
                <w:color w:val="auto"/>
                <w:w w:val="91"/>
              </w:rPr>
              <w:t>Stock</w:t>
            </w:r>
          </w:p>
        </w:tc>
        <w:tc>
          <w:tcPr>
            <w:tcW w:w="7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Stock</w:t>
            </w: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ind w:left="240"/>
              <w:spacing w:after="0" w:line="149" w:lineRule="exact"/>
              <w:rPr>
                <w:sz w:val="20"/>
                <w:szCs w:val="20"/>
                <w:color w:val="auto"/>
              </w:rPr>
            </w:pPr>
            <w:r>
              <w:rPr>
                <w:rFonts w:ascii="Arial" w:cs="Arial" w:eastAsia="Arial" w:hAnsi="Arial"/>
                <w:sz w:val="14"/>
                <w:szCs w:val="14"/>
                <w:color w:val="auto"/>
              </w:rPr>
              <w:t>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gridSpan w:val="2"/>
          </w:tcPr>
          <w:p>
            <w:pPr>
              <w:ind w:left="120"/>
              <w:spacing w:after="0" w:line="149" w:lineRule="exact"/>
              <w:rPr>
                <w:sz w:val="20"/>
                <w:szCs w:val="20"/>
                <w:color w:val="auto"/>
              </w:rPr>
            </w:pPr>
            <w:r>
              <w:rPr>
                <w:rFonts w:ascii="Arial" w:cs="Arial" w:eastAsia="Arial" w:hAnsi="Arial"/>
                <w:sz w:val="14"/>
                <w:szCs w:val="14"/>
                <w:color w:val="auto"/>
              </w:rPr>
              <w:t>Stock</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Stock</w:t>
            </w:r>
          </w:p>
        </w:tc>
        <w:tc>
          <w:tcPr>
            <w:tcW w:w="100" w:type="dxa"/>
            <w:vAlign w:val="bottom"/>
          </w:tcPr>
          <w:p>
            <w:pPr>
              <w:spacing w:after="0"/>
              <w:rPr>
                <w:sz w:val="12"/>
                <w:szCs w:val="12"/>
                <w:color w:val="auto"/>
              </w:rPr>
            </w:pPr>
          </w:p>
        </w:tc>
        <w:tc>
          <w:tcPr>
            <w:tcW w:w="860" w:type="dxa"/>
            <w:vAlign w:val="bottom"/>
            <w:gridSpan w:val="2"/>
          </w:tcPr>
          <w:p>
            <w:pPr>
              <w:jc w:val="right"/>
              <w:ind w:right="320"/>
              <w:spacing w:after="0" w:line="149" w:lineRule="exact"/>
              <w:rPr>
                <w:sz w:val="20"/>
                <w:szCs w:val="20"/>
                <w:color w:val="auto"/>
              </w:rPr>
            </w:pPr>
            <w:r>
              <w:rPr>
                <w:rFonts w:ascii="Arial" w:cs="Arial" w:eastAsia="Arial" w:hAnsi="Arial"/>
                <w:sz w:val="14"/>
                <w:szCs w:val="14"/>
                <w:color w:val="auto"/>
              </w:rPr>
              <w:t>Paid-in</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Stock</w:t>
            </w:r>
          </w:p>
        </w:tc>
        <w:tc>
          <w:tcPr>
            <w:tcW w:w="12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Stock</w:t>
            </w:r>
          </w:p>
        </w:tc>
        <w:tc>
          <w:tcPr>
            <w:tcW w:w="20" w:type="dxa"/>
            <w:vAlign w:val="bottom"/>
          </w:tcPr>
          <w:p>
            <w:pPr>
              <w:spacing w:after="0"/>
              <w:rPr>
                <w:sz w:val="12"/>
                <w:szCs w:val="12"/>
                <w:color w:val="auto"/>
              </w:rPr>
            </w:pP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6"/>
              </w:rPr>
              <w:t>Accumulated</w:t>
            </w:r>
          </w:p>
        </w:tc>
        <w:tc>
          <w:tcPr>
            <w:tcW w:w="2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2"/>
              </w:rPr>
              <w:t>Stockholders’</w:t>
            </w:r>
          </w:p>
        </w:tc>
      </w:tr>
      <w:tr>
        <w:trPr>
          <w:trHeight w:val="174"/>
        </w:trPr>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100" w:type="dxa"/>
            <w:vAlign w:val="bottom"/>
          </w:tcPr>
          <w:p>
            <w:pPr>
              <w:spacing w:after="0"/>
              <w:rPr>
                <w:sz w:val="15"/>
                <w:szCs w:val="15"/>
                <w:color w:val="auto"/>
              </w:rPr>
            </w:pPr>
          </w:p>
        </w:tc>
        <w:tc>
          <w:tcPr>
            <w:tcW w:w="7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Amount</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Borders>
              <w:bottom w:val="single" w:sz="8" w:color="auto"/>
            </w:tcBorders>
          </w:tcPr>
          <w:p>
            <w:pPr>
              <w:ind w:left="220"/>
              <w:spacing w:after="0"/>
              <w:rPr>
                <w:sz w:val="20"/>
                <w:szCs w:val="20"/>
                <w:color w:val="auto"/>
              </w:rPr>
            </w:pPr>
            <w:r>
              <w:rPr>
                <w:rFonts w:ascii="Arial" w:cs="Arial" w:eastAsia="Arial" w:hAnsi="Arial"/>
                <w:sz w:val="14"/>
                <w:szCs w:val="14"/>
                <w:color w:val="auto"/>
              </w:rPr>
              <w:t>Shares</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Amount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8"/>
              </w:rPr>
              <w:t>Warrants</w:t>
            </w: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8"/>
              </w:rPr>
              <w:t>Payable</w:t>
            </w:r>
          </w:p>
        </w:tc>
        <w:tc>
          <w:tcPr>
            <w:tcW w:w="120" w:type="dxa"/>
            <w:vAlign w:val="bottom"/>
          </w:tcPr>
          <w:p>
            <w:pPr>
              <w:spacing w:after="0"/>
              <w:rPr>
                <w:sz w:val="15"/>
                <w:szCs w:val="15"/>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3"/>
              </w:rPr>
              <w:t>Compensation</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Equity</w:t>
            </w:r>
          </w:p>
        </w:tc>
        <w:tc>
          <w:tcPr>
            <w:tcW w:w="60" w:type="dxa"/>
            <w:vAlign w:val="bottom"/>
          </w:tcPr>
          <w:p>
            <w:pPr>
              <w:spacing w:after="0"/>
              <w:rPr>
                <w:sz w:val="15"/>
                <w:szCs w:val="15"/>
                <w:color w:val="auto"/>
              </w:rPr>
            </w:pPr>
          </w:p>
        </w:tc>
      </w:tr>
      <w:tr>
        <w:trPr>
          <w:trHeight w:val="461"/>
        </w:trPr>
        <w:tc>
          <w:tcPr>
            <w:tcW w:w="9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608"/>
              <w:spacing w:after="0"/>
              <w:rPr>
                <w:sz w:val="20"/>
                <w:szCs w:val="20"/>
                <w:color w:val="auto"/>
              </w:rPr>
            </w:pPr>
            <w:r>
              <w:rPr>
                <w:rFonts w:ascii="Arial" w:cs="Arial" w:eastAsia="Arial" w:hAnsi="Arial"/>
                <w:sz w:val="14"/>
                <w:szCs w:val="14"/>
                <w:color w:val="auto"/>
                <w:w w:val="76"/>
              </w:rPr>
              <w:t>$</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29,030,925</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29,031</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2,329,508</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32,185,499</w:t>
            </w:r>
          </w:p>
        </w:tc>
        <w:tc>
          <w:tcPr>
            <w:tcW w:w="8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1,132,148</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40"/>
              <w:spacing w:after="0"/>
              <w:rPr>
                <w:sz w:val="20"/>
                <w:szCs w:val="20"/>
                <w:color w:val="auto"/>
              </w:rPr>
            </w:pPr>
            <w:r>
              <w:rPr>
                <w:rFonts w:ascii="Arial" w:cs="Arial" w:eastAsia="Arial" w:hAnsi="Arial"/>
                <w:sz w:val="14"/>
                <w:szCs w:val="14"/>
                <w:color w:val="auto"/>
              </w:rPr>
              <w:t>(13,800)</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(26,719,890)</w:t>
            </w:r>
          </w:p>
        </w:tc>
        <w:tc>
          <w:tcPr>
            <w:tcW w:w="160" w:type="dxa"/>
            <w:vAlign w:val="bottom"/>
            <w:gridSpan w:val="2"/>
          </w:tcPr>
          <w:p>
            <w:pPr>
              <w:jc w:val="right"/>
              <w:ind w:right="8"/>
              <w:spacing w:after="0"/>
              <w:rPr>
                <w:sz w:val="20"/>
                <w:szCs w:val="20"/>
                <w:color w:val="auto"/>
              </w:rPr>
            </w:pPr>
            <w:r>
              <w:rPr>
                <w:rFonts w:ascii="Arial" w:cs="Arial" w:eastAsia="Arial" w:hAnsi="Arial"/>
                <w:sz w:val="14"/>
                <w:szCs w:val="14"/>
                <w:color w:val="auto"/>
                <w:w w:val="76"/>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8,942,496</w:t>
            </w:r>
          </w:p>
        </w:tc>
        <w:tc>
          <w:tcPr>
            <w:tcW w:w="60" w:type="dxa"/>
            <w:vAlign w:val="bottom"/>
          </w:tcPr>
          <w:p>
            <w:pPr>
              <w:spacing w:after="0"/>
              <w:rPr>
                <w:sz w:val="24"/>
                <w:szCs w:val="24"/>
                <w:color w:val="auto"/>
              </w:rPr>
            </w:pPr>
          </w:p>
        </w:tc>
      </w:tr>
      <w:tr>
        <w:trPr>
          <w:trHeight w:val="297"/>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384,126</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384,126</w:t>
            </w:r>
          </w:p>
        </w:tc>
        <w:tc>
          <w:tcPr>
            <w:tcW w:w="60" w:type="dxa"/>
            <w:vAlign w:val="bottom"/>
          </w:tcPr>
          <w:p>
            <w:pPr>
              <w:spacing w:after="0"/>
              <w:rPr>
                <w:sz w:val="24"/>
                <w:szCs w:val="24"/>
                <w:color w:val="auto"/>
              </w:rPr>
            </w:pPr>
          </w:p>
        </w:tc>
      </w:tr>
      <w:tr>
        <w:trPr>
          <w:trHeight w:val="263"/>
        </w:trPr>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50,000</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w:t>
            </w: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51,325</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51,375</w:t>
            </w:r>
          </w:p>
        </w:tc>
        <w:tc>
          <w:tcPr>
            <w:tcW w:w="60" w:type="dxa"/>
            <w:vAlign w:val="bottom"/>
          </w:tcPr>
          <w:p>
            <w:pPr>
              <w:spacing w:after="0"/>
              <w:rPr>
                <w:sz w:val="22"/>
                <w:szCs w:val="22"/>
                <w:color w:val="auto"/>
              </w:rPr>
            </w:pPr>
          </w:p>
        </w:tc>
      </w:tr>
      <w:tr>
        <w:trPr>
          <w:trHeight w:val="149"/>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384,188</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384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449,116</w:t>
            </w: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449,500</w:t>
            </w:r>
          </w:p>
        </w:tc>
        <w:tc>
          <w:tcPr>
            <w:tcW w:w="60" w:type="dxa"/>
            <w:vAlign w:val="bottom"/>
          </w:tcPr>
          <w:p>
            <w:pPr>
              <w:spacing w:after="0"/>
              <w:rPr>
                <w:sz w:val="12"/>
                <w:szCs w:val="12"/>
                <w:color w:val="auto"/>
              </w:rPr>
            </w:pPr>
          </w:p>
        </w:tc>
      </w:tr>
      <w:tr>
        <w:trPr>
          <w:trHeight w:val="149"/>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103,754</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spacing w:after="0" w:line="149" w:lineRule="exact"/>
              <w:rPr>
                <w:sz w:val="20"/>
                <w:szCs w:val="20"/>
                <w:color w:val="auto"/>
              </w:rPr>
            </w:pPr>
            <w:r>
              <w:rPr>
                <w:rFonts w:ascii="Arial" w:cs="Arial" w:eastAsia="Arial" w:hAnsi="Arial"/>
                <w:sz w:val="14"/>
                <w:szCs w:val="14"/>
                <w:color w:val="auto"/>
              </w:rPr>
              <w:t>104</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(104)</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r>
      <w:tr>
        <w:trPr>
          <w:trHeight w:val="182"/>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100,000</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100</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109,900</w:t>
            </w: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110,000</w:t>
            </w:r>
          </w:p>
        </w:tc>
        <w:tc>
          <w:tcPr>
            <w:tcW w:w="60" w:type="dxa"/>
            <w:vAlign w:val="bottom"/>
          </w:tcPr>
          <w:p>
            <w:pPr>
              <w:spacing w:after="0"/>
              <w:rPr>
                <w:sz w:val="15"/>
                <w:szCs w:val="15"/>
                <w:color w:val="auto"/>
              </w:rPr>
            </w:pPr>
          </w:p>
        </w:tc>
      </w:tr>
      <w:tr>
        <w:trPr>
          <w:trHeight w:val="297"/>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50,000</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94,450</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(94,500)</w:t>
            </w: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24"/>
                <w:szCs w:val="24"/>
                <w:color w:val="auto"/>
              </w:rPr>
            </w:pPr>
          </w:p>
        </w:tc>
      </w:tr>
      <w:tr>
        <w:trPr>
          <w:trHeight w:val="263"/>
        </w:trPr>
        <w:tc>
          <w:tcPr>
            <w:tcW w:w="8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437,733</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4"/>
                <w:szCs w:val="14"/>
                <w:color w:val="auto"/>
              </w:rPr>
              <w:t>(1,037,648)</w:t>
            </w: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(599,915)</w:t>
            </w:r>
          </w:p>
        </w:tc>
      </w:tr>
      <w:tr>
        <w:trPr>
          <w:trHeight w:val="149"/>
        </w:trPr>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(35,092)</w:t>
            </w:r>
          </w:p>
        </w:tc>
        <w:tc>
          <w:tcPr>
            <w:tcW w:w="1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35,092</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60" w:type="dxa"/>
            <w:vAlign w:val="bottom"/>
          </w:tcPr>
          <w:p>
            <w:pPr>
              <w:spacing w:after="0"/>
              <w:rPr>
                <w:sz w:val="12"/>
                <w:szCs w:val="12"/>
                <w:color w:val="auto"/>
              </w:rPr>
            </w:pPr>
          </w:p>
        </w:tc>
      </w:tr>
      <w:tr>
        <w:trPr>
          <w:trHeight w:val="182"/>
        </w:trPr>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13,800</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13,800</w:t>
            </w:r>
          </w:p>
        </w:tc>
        <w:tc>
          <w:tcPr>
            <w:tcW w:w="60" w:type="dxa"/>
            <w:vAlign w:val="bottom"/>
          </w:tcPr>
          <w:p>
            <w:pPr>
              <w:spacing w:after="0"/>
              <w:rPr>
                <w:sz w:val="15"/>
                <w:szCs w:val="15"/>
                <w:color w:val="auto"/>
              </w:rPr>
            </w:pPr>
          </w:p>
        </w:tc>
      </w:tr>
      <w:tr>
        <w:trPr>
          <w:trHeight w:val="296"/>
        </w:trPr>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(1,539,203)</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gridSpan w:val="2"/>
          </w:tcPr>
          <w:p>
            <w:pPr>
              <w:jc w:val="right"/>
              <w:spacing w:after="0"/>
              <w:rPr>
                <w:sz w:val="20"/>
                <w:szCs w:val="20"/>
                <w:color w:val="auto"/>
              </w:rPr>
            </w:pPr>
            <w:r>
              <w:rPr>
                <w:rFonts w:ascii="Arial" w:cs="Arial" w:eastAsia="Arial" w:hAnsi="Arial"/>
                <w:sz w:val="14"/>
                <w:szCs w:val="14"/>
                <w:color w:val="auto"/>
              </w:rPr>
              <w:t>(1,539,203)</w:t>
            </w:r>
          </w:p>
        </w:tc>
      </w:tr>
      <w:tr>
        <w:trPr>
          <w:trHeight w:val="27"/>
        </w:trPr>
        <w:tc>
          <w:tcPr>
            <w:tcW w:w="8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gridSpan w:val="2"/>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31"/>
        </w:trPr>
        <w:tc>
          <w:tcPr>
            <w:tcW w:w="8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60" w:type="dxa"/>
            <w:vAlign w:val="bottom"/>
          </w:tcPr>
          <w:p>
            <w:pPr>
              <w:jc w:val="right"/>
              <w:ind w:right="608"/>
              <w:spacing w:after="0"/>
              <w:rPr>
                <w:sz w:val="20"/>
                <w:szCs w:val="20"/>
                <w:color w:val="auto"/>
              </w:rPr>
            </w:pPr>
            <w:r>
              <w:rPr>
                <w:rFonts w:ascii="Arial" w:cs="Arial" w:eastAsia="Arial" w:hAnsi="Arial"/>
                <w:sz w:val="14"/>
                <w:szCs w:val="14"/>
                <w:color w:val="auto"/>
                <w:w w:val="76"/>
              </w:rPr>
              <w:t>$</w:t>
            </w:r>
          </w:p>
        </w:tc>
        <w:tc>
          <w:tcPr>
            <w:tcW w:w="22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4"/>
                <w:szCs w:val="14"/>
                <w:color w:val="auto"/>
              </w:rPr>
              <w:t>29,718,867</w:t>
            </w:r>
          </w:p>
        </w:tc>
        <w:tc>
          <w:tcPr>
            <w:tcW w:w="18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40"/>
              <w:spacing w:after="0"/>
              <w:rPr>
                <w:sz w:val="20"/>
                <w:szCs w:val="20"/>
                <w:color w:val="auto"/>
              </w:rPr>
            </w:pPr>
            <w:r>
              <w:rPr>
                <w:rFonts w:ascii="Arial" w:cs="Arial" w:eastAsia="Arial" w:hAnsi="Arial"/>
                <w:sz w:val="14"/>
                <w:szCs w:val="14"/>
                <w:color w:val="auto"/>
              </w:rPr>
              <w:t>29,719</w:t>
            </w:r>
          </w:p>
        </w:tc>
        <w:tc>
          <w:tcPr>
            <w:tcW w:w="18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00"/>
              <w:spacing w:after="0"/>
              <w:rPr>
                <w:sz w:val="20"/>
                <w:szCs w:val="20"/>
                <w:color w:val="auto"/>
              </w:rPr>
            </w:pPr>
            <w:r>
              <w:rPr>
                <w:rFonts w:ascii="Arial" w:cs="Arial" w:eastAsia="Arial" w:hAnsi="Arial"/>
                <w:sz w:val="14"/>
                <w:szCs w:val="14"/>
                <w:color w:val="auto"/>
              </w:rPr>
              <w:t>2,294,416</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33,747,137</w:t>
            </w:r>
          </w:p>
        </w:tc>
        <w:tc>
          <w:tcPr>
            <w:tcW w:w="80" w:type="dxa"/>
            <w:vAlign w:val="bottom"/>
          </w:tcPr>
          <w:p>
            <w:pPr>
              <w:spacing w:after="0"/>
              <w:rPr>
                <w:sz w:val="24"/>
                <w:szCs w:val="24"/>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0" w:type="dxa"/>
            <w:vAlign w:val="bottom"/>
          </w:tcPr>
          <w:p>
            <w:pPr>
              <w:jc w:val="right"/>
              <w:ind w:right="2"/>
              <w:spacing w:after="0"/>
              <w:rPr>
                <w:sz w:val="20"/>
                <w:szCs w:val="20"/>
                <w:color w:val="auto"/>
              </w:rPr>
            </w:pPr>
            <w:r>
              <w:rPr>
                <w:rFonts w:ascii="Arial" w:cs="Arial" w:eastAsia="Arial" w:hAnsi="Arial"/>
                <w:sz w:val="10"/>
                <w:szCs w:val="10"/>
                <w:color w:val="auto"/>
                <w:w w:val="71"/>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20" w:type="dxa"/>
            <w:vAlign w:val="bottom"/>
            <w:gridSpan w:val="4"/>
          </w:tcPr>
          <w:p>
            <w:pPr>
              <w:jc w:val="right"/>
              <w:ind w:right="8"/>
              <w:spacing w:after="0"/>
              <w:rPr>
                <w:sz w:val="20"/>
                <w:szCs w:val="20"/>
                <w:color w:val="auto"/>
              </w:rPr>
            </w:pPr>
            <w:r>
              <w:rPr>
                <w:rFonts w:ascii="Arial" w:cs="Arial" w:eastAsia="Arial" w:hAnsi="Arial"/>
                <w:sz w:val="14"/>
                <w:szCs w:val="14"/>
                <w:color w:val="auto"/>
                <w:w w:val="99"/>
              </w:rPr>
              <w:t>(28,259,093</w:t>
            </w:r>
            <w:r>
              <w:rPr>
                <w:rFonts w:ascii="Arial" w:cs="Arial" w:eastAsia="Arial" w:hAnsi="Arial"/>
                <w:sz w:val="28"/>
                <w:szCs w:val="28"/>
                <w:color w:val="auto"/>
                <w:w w:val="99"/>
                <w:vertAlign w:val="superscript"/>
              </w:rPr>
              <w:t>)</w:t>
            </w:r>
            <w:r>
              <w:rPr>
                <w:rFonts w:ascii="Arial" w:cs="Arial" w:eastAsia="Arial" w:hAnsi="Arial"/>
                <w:sz w:val="14"/>
                <w:szCs w:val="14"/>
                <w:color w:val="auto"/>
                <w:w w:val="99"/>
              </w:rPr>
              <w:t xml:space="preserve"> $</w:t>
            </w:r>
          </w:p>
        </w:tc>
        <w:tc>
          <w:tcPr>
            <w:tcW w:w="720" w:type="dxa"/>
            <w:vAlign w:val="bottom"/>
          </w:tcPr>
          <w:p>
            <w:pPr>
              <w:jc w:val="right"/>
              <w:spacing w:after="0"/>
              <w:rPr>
                <w:sz w:val="20"/>
                <w:szCs w:val="20"/>
                <w:color w:val="auto"/>
              </w:rPr>
            </w:pPr>
            <w:r>
              <w:rPr>
                <w:rFonts w:ascii="Arial" w:cs="Arial" w:eastAsia="Arial" w:hAnsi="Arial"/>
                <w:sz w:val="14"/>
                <w:szCs w:val="14"/>
                <w:color w:val="auto"/>
              </w:rPr>
              <w:t>7,812,179</w:t>
            </w:r>
          </w:p>
        </w:tc>
        <w:tc>
          <w:tcPr>
            <w:tcW w:w="60" w:type="dxa"/>
            <w:vAlign w:val="bottom"/>
          </w:tcPr>
          <w:p>
            <w:pPr>
              <w:spacing w:after="0"/>
              <w:rPr>
                <w:sz w:val="24"/>
                <w:szCs w:val="24"/>
                <w:color w:val="auto"/>
              </w:rPr>
            </w:pPr>
          </w:p>
        </w:tc>
      </w:tr>
      <w:tr>
        <w:trPr>
          <w:trHeight w:val="21"/>
        </w:trPr>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136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ectPr>
          <w:pgSz w:w="11900" w:h="16838" w:orient="portrait"/>
          <w:cols w:equalWidth="0" w:num="2">
            <w:col w:w="1640" w:space="60"/>
            <w:col w:w="9720"/>
          </w:cols>
          <w:pgMar w:left="240" w:top="337" w:right="239" w:bottom="1440" w:gutter="0" w:footer="0" w:header="0"/>
        </w:sect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26" w:name="page27"/>
    <w:bookmarkEnd w:id="2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4"/>
          <w:szCs w:val="14"/>
          <w:color w:val="auto"/>
        </w:rPr>
        <w:t>Balance,</w:t>
      </w:r>
    </w:p>
    <w:p>
      <w:pPr>
        <w:spacing w:after="0" w:line="221" w:lineRule="auto"/>
        <w:rPr>
          <w:sz w:val="20"/>
          <w:szCs w:val="20"/>
          <w:color w:val="auto"/>
        </w:rPr>
      </w:pPr>
      <w:r>
        <w:rPr>
          <w:rFonts w:ascii="Arial" w:cs="Arial" w:eastAsia="Arial" w:hAnsi="Arial"/>
          <w:sz w:val="14"/>
          <w:szCs w:val="14"/>
          <w:color w:val="auto"/>
        </w:rPr>
        <w:t>December 31, 2016</w:t>
      </w:r>
    </w:p>
    <w:p>
      <w:pPr>
        <w:spacing w:after="0"/>
        <w:rPr>
          <w:sz w:val="20"/>
          <w:szCs w:val="20"/>
          <w:color w:val="auto"/>
        </w:rPr>
      </w:pPr>
      <w:r>
        <w:rPr>
          <w:rFonts w:ascii="Arial" w:cs="Arial" w:eastAsia="Arial" w:hAnsi="Arial"/>
          <w:sz w:val="12"/>
          <w:szCs w:val="12"/>
          <w:color w:val="auto"/>
        </w:rPr>
        <w:t>Issuance of stock options to employees</w:t>
      </w:r>
    </w:p>
    <w:p>
      <w:pPr>
        <w:spacing w:after="0" w:line="237" w:lineRule="auto"/>
        <w:rPr>
          <w:sz w:val="20"/>
          <w:szCs w:val="20"/>
          <w:color w:val="auto"/>
        </w:rPr>
      </w:pPr>
      <w:r>
        <w:rPr>
          <w:rFonts w:ascii="Arial" w:cs="Arial" w:eastAsia="Arial" w:hAnsi="Arial"/>
          <w:sz w:val="14"/>
          <w:szCs w:val="14"/>
          <w:color w:val="auto"/>
        </w:rPr>
        <w:t>Issuance of common stock:</w:t>
      </w:r>
    </w:p>
    <w:p>
      <w:pPr>
        <w:ind w:left="180"/>
        <w:spacing w:after="0" w:line="221" w:lineRule="auto"/>
        <w:rPr>
          <w:sz w:val="20"/>
          <w:szCs w:val="20"/>
          <w:color w:val="auto"/>
        </w:rPr>
      </w:pPr>
      <w:r>
        <w:rPr>
          <w:rFonts w:ascii="Arial" w:cs="Arial" w:eastAsia="Arial" w:hAnsi="Arial"/>
          <w:sz w:val="14"/>
          <w:szCs w:val="14"/>
          <w:color w:val="auto"/>
        </w:rPr>
        <w:t>for services</w:t>
      </w:r>
    </w:p>
    <w:p>
      <w:pPr>
        <w:ind w:left="180"/>
        <w:spacing w:after="0"/>
        <w:rPr>
          <w:sz w:val="20"/>
          <w:szCs w:val="20"/>
          <w:color w:val="auto"/>
        </w:rPr>
      </w:pPr>
      <w:r>
        <w:rPr>
          <w:rFonts w:ascii="Arial" w:cs="Arial" w:eastAsia="Arial" w:hAnsi="Arial"/>
          <w:sz w:val="14"/>
          <w:szCs w:val="14"/>
          <w:color w:val="auto"/>
        </w:rPr>
        <w:t>for options</w:t>
      </w:r>
    </w:p>
    <w:p>
      <w:pPr>
        <w:spacing w:after="0" w:line="124" w:lineRule="exact"/>
        <w:rPr>
          <w:sz w:val="20"/>
          <w:szCs w:val="20"/>
          <w:color w:val="auto"/>
        </w:rPr>
      </w:pPr>
    </w:p>
    <w:p>
      <w:pPr>
        <w:spacing w:after="0"/>
        <w:rPr>
          <w:sz w:val="20"/>
          <w:szCs w:val="20"/>
          <w:color w:val="auto"/>
        </w:rPr>
      </w:pPr>
      <w:r>
        <w:rPr>
          <w:rFonts w:ascii="Arial" w:cs="Arial" w:eastAsia="Arial" w:hAnsi="Arial"/>
          <w:sz w:val="14"/>
          <w:szCs w:val="14"/>
          <w:color w:val="auto"/>
        </w:rPr>
        <w:t>Shares redeemed for cash</w:t>
      </w:r>
    </w:p>
    <w:p>
      <w:pPr>
        <w:spacing w:after="0" w:line="221" w:lineRule="auto"/>
        <w:rPr>
          <w:sz w:val="20"/>
          <w:szCs w:val="20"/>
          <w:color w:val="auto"/>
        </w:rPr>
      </w:pPr>
      <w:r>
        <w:rPr>
          <w:rFonts w:ascii="Arial" w:cs="Arial" w:eastAsia="Arial" w:hAnsi="Arial"/>
          <w:sz w:val="14"/>
          <w:szCs w:val="14"/>
          <w:color w:val="auto"/>
        </w:rPr>
        <w:t>Expiration of Warrants</w:t>
      </w:r>
    </w:p>
    <w:p>
      <w:pPr>
        <w:spacing w:after="0" w:line="221" w:lineRule="auto"/>
        <w:rPr>
          <w:sz w:val="20"/>
          <w:szCs w:val="20"/>
          <w:color w:val="auto"/>
        </w:rPr>
      </w:pPr>
      <w:r>
        <w:rPr>
          <w:rFonts w:ascii="Arial" w:cs="Arial" w:eastAsia="Arial" w:hAnsi="Arial"/>
          <w:sz w:val="14"/>
          <w:szCs w:val="14"/>
          <w:color w:val="auto"/>
        </w:rPr>
        <w:t>Net loss for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year</w:t>
      </w:r>
    </w:p>
    <w:p>
      <w:pPr>
        <w:spacing w:after="0" w:line="2" w:lineRule="exact"/>
        <w:rPr>
          <w:sz w:val="20"/>
          <w:szCs w:val="20"/>
          <w:color w:val="auto"/>
        </w:rPr>
      </w:pPr>
    </w:p>
    <w:p>
      <w:pPr>
        <w:spacing w:after="0"/>
        <w:rPr>
          <w:sz w:val="20"/>
          <w:szCs w:val="20"/>
          <w:color w:val="auto"/>
        </w:rPr>
      </w:pPr>
      <w:r>
        <w:rPr>
          <w:rFonts w:ascii="Arial" w:cs="Arial" w:eastAsia="Arial" w:hAnsi="Arial"/>
          <w:sz w:val="14"/>
          <w:szCs w:val="14"/>
          <w:color w:val="auto"/>
        </w:rPr>
        <w:t>Balance,</w:t>
      </w:r>
    </w:p>
    <w:p>
      <w:pPr>
        <w:spacing w:after="0"/>
        <w:rPr>
          <w:sz w:val="20"/>
          <w:szCs w:val="20"/>
          <w:color w:val="auto"/>
        </w:rPr>
      </w:pPr>
      <w:r>
        <w:rPr>
          <w:rFonts w:ascii="Arial" w:cs="Arial" w:eastAsia="Arial" w:hAnsi="Arial"/>
          <w:sz w:val="14"/>
          <w:szCs w:val="14"/>
          <w:color w:val="auto"/>
        </w:rPr>
        <w:t>December 31, 2017</w:t>
      </w:r>
    </w:p>
    <w:p>
      <w:pPr>
        <w:spacing w:after="0" w:line="20" w:lineRule="exact"/>
        <w:rPr>
          <w:sz w:val="20"/>
          <w:szCs w:val="20"/>
          <w:color w:val="auto"/>
        </w:rPr>
      </w:pPr>
      <w:r>
        <w:rPr>
          <w:sz w:val="20"/>
          <w:szCs w:val="20"/>
          <w:color w:val="auto"/>
        </w:rPr>
        <w:br w:type="column"/>
      </w:r>
    </w:p>
    <w:p>
      <w:pPr>
        <w:jc w:val="center"/>
        <w:ind w:left="340" w:right="3040"/>
        <w:spacing w:after="0" w:line="266" w:lineRule="auto"/>
        <w:rPr>
          <w:sz w:val="20"/>
          <w:szCs w:val="20"/>
          <w:color w:val="auto"/>
        </w:rPr>
      </w:pPr>
      <w:r>
        <w:rPr>
          <w:rFonts w:ascii="Arial" w:cs="Arial" w:eastAsia="Arial" w:hAnsi="Arial"/>
          <w:sz w:val="18"/>
          <w:szCs w:val="18"/>
          <w:b w:val="1"/>
          <w:bCs w:val="1"/>
          <w:color w:val="auto"/>
        </w:rPr>
        <w:t>OPTIMIZERx CORPORATION Consolidated Statement of Stockholders’ Equity for the Year Ended December 31, 2017</w:t>
      </w:r>
    </w:p>
    <w:p>
      <w:pPr>
        <w:spacing w:after="0" w:line="163" w:lineRule="exact"/>
        <w:rPr>
          <w:sz w:val="20"/>
          <w:szCs w:val="20"/>
          <w:color w:val="auto"/>
        </w:rPr>
      </w:pPr>
    </w:p>
    <w:tbl>
      <w:tblPr>
        <w:tblLayout w:type="fixed"/>
        <w:tblInd w:w="600" w:type="dxa"/>
        <w:tblCellMar>
          <w:top w:w="0" w:type="dxa"/>
          <w:left w:w="0" w:type="dxa"/>
          <w:bottom w:w="0" w:type="dxa"/>
          <w:right w:w="0" w:type="dxa"/>
        </w:tblCellMar>
      </w:tblPr>
      <w:tr>
        <w:trPr>
          <w:trHeight w:val="161"/>
        </w:trPr>
        <w:tc>
          <w:tcPr>
            <w:tcW w:w="900" w:type="dxa"/>
            <w:vAlign w:val="bottom"/>
            <w:gridSpan w:val="2"/>
          </w:tcPr>
          <w:p>
            <w:pPr>
              <w:jc w:val="center"/>
              <w:ind w:right="40"/>
              <w:spacing w:after="0"/>
              <w:rPr>
                <w:sz w:val="20"/>
                <w:szCs w:val="20"/>
                <w:color w:val="auto"/>
              </w:rPr>
            </w:pPr>
            <w:r>
              <w:rPr>
                <w:rFonts w:ascii="Arial" w:cs="Arial" w:eastAsia="Arial" w:hAnsi="Arial"/>
                <w:sz w:val="14"/>
                <w:szCs w:val="14"/>
                <w:color w:val="auto"/>
                <w:w w:val="92"/>
              </w:rPr>
              <w:t>Preferred</w:t>
            </w:r>
          </w:p>
        </w:tc>
        <w:tc>
          <w:tcPr>
            <w:tcW w:w="6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Preferred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4"/>
                <w:szCs w:val="14"/>
                <w:color w:val="auto"/>
              </w:rPr>
              <w:t>Common</w:t>
            </w:r>
          </w:p>
        </w:tc>
        <w:tc>
          <w:tcPr>
            <w:tcW w:w="120" w:type="dxa"/>
            <w:vAlign w:val="bottom"/>
          </w:tcPr>
          <w:p>
            <w:pPr>
              <w:spacing w:after="0"/>
              <w:rPr>
                <w:sz w:val="14"/>
                <w:szCs w:val="14"/>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4"/>
                <w:szCs w:val="14"/>
                <w:color w:val="auto"/>
              </w:rPr>
              <w:t>Common</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4"/>
                <w:szCs w:val="14"/>
                <w:color w:val="auto"/>
              </w:rPr>
              <w:t>Additional</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color w:val="auto"/>
              </w:rPr>
              <w:t>Total</w:t>
            </w:r>
          </w:p>
        </w:tc>
      </w:tr>
      <w:tr>
        <w:trPr>
          <w:trHeight w:val="149"/>
        </w:trPr>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color w:val="auto"/>
                <w:w w:val="96"/>
              </w:rPr>
              <w:t>Stock</w:t>
            </w:r>
          </w:p>
        </w:tc>
        <w:tc>
          <w:tcPr>
            <w:tcW w:w="60" w:type="dxa"/>
            <w:vAlign w:val="bottom"/>
          </w:tcPr>
          <w:p>
            <w:pPr>
              <w:spacing w:after="0"/>
              <w:rPr>
                <w:sz w:val="12"/>
                <w:szCs w:val="12"/>
                <w:color w:val="auto"/>
              </w:rPr>
            </w:pPr>
          </w:p>
        </w:tc>
        <w:tc>
          <w:tcPr>
            <w:tcW w:w="760" w:type="dxa"/>
            <w:vAlign w:val="bottom"/>
          </w:tcPr>
          <w:p>
            <w:pPr>
              <w:jc w:val="right"/>
              <w:ind w:right="128"/>
              <w:spacing w:after="0" w:line="149" w:lineRule="exact"/>
              <w:rPr>
                <w:sz w:val="20"/>
                <w:szCs w:val="20"/>
                <w:color w:val="auto"/>
              </w:rPr>
            </w:pPr>
            <w:r>
              <w:rPr>
                <w:rFonts w:ascii="Arial" w:cs="Arial" w:eastAsia="Arial" w:hAnsi="Arial"/>
                <w:sz w:val="14"/>
                <w:szCs w:val="14"/>
                <w:color w:val="auto"/>
              </w:rPr>
              <w:t>Stock</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Stock</w:t>
            </w:r>
          </w:p>
        </w:tc>
        <w:tc>
          <w:tcPr>
            <w:tcW w:w="120" w:type="dxa"/>
            <w:vAlign w:val="bottom"/>
          </w:tcPr>
          <w:p>
            <w:pPr>
              <w:spacing w:after="0"/>
              <w:rPr>
                <w:sz w:val="12"/>
                <w:szCs w:val="12"/>
                <w:color w:val="auto"/>
              </w:rPr>
            </w:pPr>
          </w:p>
        </w:tc>
        <w:tc>
          <w:tcPr>
            <w:tcW w:w="840" w:type="dxa"/>
            <w:vAlign w:val="bottom"/>
            <w:gridSpan w:val="2"/>
          </w:tcPr>
          <w:p>
            <w:pPr>
              <w:jc w:val="right"/>
              <w:ind w:right="380"/>
              <w:spacing w:after="0" w:line="149" w:lineRule="exact"/>
              <w:rPr>
                <w:sz w:val="20"/>
                <w:szCs w:val="20"/>
                <w:color w:val="auto"/>
              </w:rPr>
            </w:pPr>
            <w:r>
              <w:rPr>
                <w:rFonts w:ascii="Arial" w:cs="Arial" w:eastAsia="Arial" w:hAnsi="Arial"/>
                <w:sz w:val="14"/>
                <w:szCs w:val="14"/>
                <w:color w:val="auto"/>
              </w:rPr>
              <w:t>Stock</w:t>
            </w: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tcPr>
          <w:p>
            <w:pPr>
              <w:jc w:val="right"/>
              <w:ind w:right="400"/>
              <w:spacing w:after="0" w:line="149" w:lineRule="exact"/>
              <w:rPr>
                <w:sz w:val="20"/>
                <w:szCs w:val="20"/>
                <w:color w:val="auto"/>
              </w:rPr>
            </w:pPr>
            <w:r>
              <w:rPr>
                <w:rFonts w:ascii="Arial" w:cs="Arial" w:eastAsia="Arial" w:hAnsi="Arial"/>
                <w:sz w:val="14"/>
                <w:szCs w:val="14"/>
                <w:color w:val="auto"/>
              </w:rPr>
              <w:t>Stock</w:t>
            </w:r>
          </w:p>
        </w:tc>
        <w:tc>
          <w:tcPr>
            <w:tcW w:w="100" w:type="dxa"/>
            <w:vAlign w:val="bottom"/>
          </w:tcPr>
          <w:p>
            <w:pPr>
              <w:spacing w:after="0"/>
              <w:rPr>
                <w:sz w:val="12"/>
                <w:szCs w:val="12"/>
                <w:color w:val="auto"/>
              </w:rPr>
            </w:pPr>
          </w:p>
        </w:tc>
        <w:tc>
          <w:tcPr>
            <w:tcW w:w="860" w:type="dxa"/>
            <w:vAlign w:val="bottom"/>
            <w:gridSpan w:val="2"/>
          </w:tcPr>
          <w:p>
            <w:pPr>
              <w:jc w:val="right"/>
              <w:ind w:right="340"/>
              <w:spacing w:after="0" w:line="149" w:lineRule="exact"/>
              <w:rPr>
                <w:sz w:val="20"/>
                <w:szCs w:val="20"/>
                <w:color w:val="auto"/>
              </w:rPr>
            </w:pPr>
            <w:r>
              <w:rPr>
                <w:rFonts w:ascii="Arial" w:cs="Arial" w:eastAsia="Arial" w:hAnsi="Arial"/>
                <w:sz w:val="14"/>
                <w:szCs w:val="14"/>
                <w:color w:val="auto"/>
              </w:rPr>
              <w:t>Paid-in</w:t>
            </w:r>
          </w:p>
        </w:tc>
        <w:tc>
          <w:tcPr>
            <w:tcW w:w="20" w:type="dxa"/>
            <w:vAlign w:val="bottom"/>
          </w:tcPr>
          <w:p>
            <w:pPr>
              <w:spacing w:after="0"/>
              <w:rPr>
                <w:sz w:val="12"/>
                <w:szCs w:val="12"/>
                <w:color w:val="auto"/>
              </w:rPr>
            </w:pPr>
          </w:p>
        </w:tc>
        <w:tc>
          <w:tcPr>
            <w:tcW w:w="980" w:type="dxa"/>
            <w:vAlign w:val="bottom"/>
            <w:gridSpan w:val="3"/>
          </w:tcPr>
          <w:p>
            <w:pPr>
              <w:jc w:val="right"/>
              <w:ind w:right="180"/>
              <w:spacing w:after="0" w:line="149" w:lineRule="exact"/>
              <w:rPr>
                <w:sz w:val="20"/>
                <w:szCs w:val="20"/>
                <w:color w:val="auto"/>
              </w:rPr>
            </w:pPr>
            <w:r>
              <w:rPr>
                <w:rFonts w:ascii="Arial" w:cs="Arial" w:eastAsia="Arial" w:hAnsi="Arial"/>
                <w:sz w:val="14"/>
                <w:szCs w:val="14"/>
                <w:color w:val="auto"/>
                <w:w w:val="96"/>
              </w:rPr>
              <w:t>Accumulated</w:t>
            </w:r>
          </w:p>
        </w:tc>
        <w:tc>
          <w:tcPr>
            <w:tcW w:w="20" w:type="dxa"/>
            <w:vAlign w:val="bottom"/>
          </w:tcPr>
          <w:p>
            <w:pPr>
              <w:spacing w:after="0"/>
              <w:rPr>
                <w:sz w:val="12"/>
                <w:szCs w:val="12"/>
                <w:color w:val="auto"/>
              </w:rPr>
            </w:pPr>
          </w:p>
        </w:tc>
        <w:tc>
          <w:tcPr>
            <w:tcW w:w="92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92"/>
              </w:rPr>
              <w:t>Stockholders’</w:t>
            </w:r>
          </w:p>
        </w:tc>
      </w:tr>
      <w:tr>
        <w:trPr>
          <w:trHeight w:val="174"/>
        </w:trPr>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5"/>
              </w:rPr>
              <w:t>Shares</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Amount</w:t>
            </w:r>
          </w:p>
        </w:tc>
        <w:tc>
          <w:tcPr>
            <w:tcW w:w="1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Shares</w:t>
            </w:r>
          </w:p>
        </w:tc>
        <w:tc>
          <w:tcPr>
            <w:tcW w:w="1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Amount</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5"/>
              </w:rPr>
              <w:t>Warrants</w:t>
            </w:r>
          </w:p>
        </w:tc>
        <w:tc>
          <w:tcPr>
            <w:tcW w:w="12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Capital</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Deficit</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color w:val="auto"/>
              </w:rPr>
              <w:t>Equity</w:t>
            </w:r>
          </w:p>
        </w:tc>
        <w:tc>
          <w:tcPr>
            <w:tcW w:w="60" w:type="dxa"/>
            <w:vAlign w:val="bottom"/>
          </w:tcPr>
          <w:p>
            <w:pPr>
              <w:spacing w:after="0"/>
              <w:rPr>
                <w:sz w:val="15"/>
                <w:szCs w:val="15"/>
                <w:color w:val="auto"/>
              </w:rPr>
            </w:pPr>
          </w:p>
        </w:tc>
      </w:tr>
      <w:tr>
        <w:trPr>
          <w:trHeight w:val="427"/>
        </w:trPr>
        <w:tc>
          <w:tcPr>
            <w:tcW w:w="9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820" w:type="dxa"/>
            <w:vAlign w:val="bottom"/>
            <w:gridSpan w:val="2"/>
          </w:tcPr>
          <w:p>
            <w:pPr>
              <w:jc w:val="right"/>
              <w:ind w:right="60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29,718,867</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29,719</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2,294,416</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33,747,137</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w w:val="98"/>
              </w:rPr>
              <w:t>(28,259,093)</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w w:val="76"/>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7,812,179</w:t>
            </w:r>
          </w:p>
        </w:tc>
        <w:tc>
          <w:tcPr>
            <w:tcW w:w="60" w:type="dxa"/>
            <w:vAlign w:val="bottom"/>
          </w:tcPr>
          <w:p>
            <w:pPr>
              <w:spacing w:after="0"/>
              <w:rPr>
                <w:sz w:val="24"/>
                <w:szCs w:val="24"/>
                <w:color w:val="auto"/>
              </w:rPr>
            </w:pPr>
          </w:p>
        </w:tc>
      </w:tr>
      <w:tr>
        <w:trPr>
          <w:trHeight w:val="182"/>
        </w:trPr>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815,014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815,014</w:t>
            </w:r>
          </w:p>
        </w:tc>
        <w:tc>
          <w:tcPr>
            <w:tcW w:w="60" w:type="dxa"/>
            <w:vAlign w:val="bottom"/>
          </w:tcPr>
          <w:p>
            <w:pPr>
              <w:spacing w:after="0"/>
              <w:rPr>
                <w:sz w:val="15"/>
                <w:szCs w:val="15"/>
                <w:color w:val="auto"/>
              </w:rPr>
            </w:pPr>
          </w:p>
        </w:tc>
      </w:tr>
      <w:tr>
        <w:trPr>
          <w:trHeight w:val="263"/>
        </w:trPr>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75,000</w:t>
            </w:r>
          </w:p>
        </w:tc>
        <w:tc>
          <w:tcPr>
            <w:tcW w:w="120" w:type="dxa"/>
            <w:vAlign w:val="bottom"/>
          </w:tcPr>
          <w:p>
            <w:pPr>
              <w:spacing w:after="0"/>
              <w:rPr>
                <w:sz w:val="22"/>
                <w:szCs w:val="22"/>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87,300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87,375</w:t>
            </w:r>
          </w:p>
        </w:tc>
        <w:tc>
          <w:tcPr>
            <w:tcW w:w="60" w:type="dxa"/>
            <w:vAlign w:val="bottom"/>
          </w:tcPr>
          <w:p>
            <w:pPr>
              <w:spacing w:after="0"/>
              <w:rPr>
                <w:sz w:val="22"/>
                <w:szCs w:val="22"/>
                <w:color w:val="auto"/>
              </w:rPr>
            </w:pPr>
          </w:p>
        </w:tc>
      </w:tr>
      <w:tr>
        <w:trPr>
          <w:trHeight w:val="182"/>
        </w:trPr>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24,214</w:t>
            </w: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24</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(24)</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263"/>
        </w:trPr>
        <w:tc>
          <w:tcPr>
            <w:tcW w:w="8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(500,000)</w:t>
            </w:r>
          </w:p>
        </w:tc>
        <w:tc>
          <w:tcPr>
            <w:tcW w:w="120" w:type="dxa"/>
            <w:vAlign w:val="bottom"/>
          </w:tcPr>
          <w:p>
            <w:pPr>
              <w:spacing w:after="0"/>
              <w:rPr>
                <w:sz w:val="22"/>
                <w:szCs w:val="22"/>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4"/>
                <w:szCs w:val="14"/>
                <w:color w:val="auto"/>
              </w:rPr>
              <w:t>(500)</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4"/>
                <w:szCs w:val="14"/>
                <w:color w:val="auto"/>
              </w:rPr>
              <w:t>(389,500)</w:t>
            </w: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rPr>
              <w:t>(390,000)</w:t>
            </w:r>
          </w:p>
        </w:tc>
      </w:tr>
      <w:tr>
        <w:trPr>
          <w:trHeight w:val="182"/>
        </w:trPr>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(1,007,992)</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1,007,992</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5"/>
                <w:szCs w:val="15"/>
                <w:color w:val="auto"/>
              </w:rPr>
            </w:pPr>
          </w:p>
        </w:tc>
      </w:tr>
      <w:tr>
        <w:trPr>
          <w:trHeight w:val="296"/>
        </w:trPr>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4"/>
                <w:szCs w:val="14"/>
                <w:color w:val="auto"/>
              </w:rPr>
              <w:t>(2,104,029)</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color w:val="auto"/>
                <w:w w:val="98"/>
              </w:rPr>
              <w:t>(2,104,0290)</w:t>
            </w:r>
          </w:p>
        </w:tc>
      </w:tr>
      <w:tr>
        <w:trPr>
          <w:trHeight w:val="27"/>
        </w:trPr>
        <w:tc>
          <w:tcPr>
            <w:tcW w:w="8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gridSpan w:val="2"/>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331"/>
        </w:trPr>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24"/>
                <w:szCs w:val="24"/>
                <w:color w:val="auto"/>
              </w:rPr>
            </w:pPr>
          </w:p>
        </w:tc>
        <w:tc>
          <w:tcPr>
            <w:tcW w:w="820" w:type="dxa"/>
            <w:vAlign w:val="bottom"/>
            <w:gridSpan w:val="2"/>
          </w:tcPr>
          <w:p>
            <w:pPr>
              <w:jc w:val="right"/>
              <w:ind w:right="608"/>
              <w:spacing w:after="0"/>
              <w:rPr>
                <w:sz w:val="20"/>
                <w:szCs w:val="20"/>
                <w:color w:val="auto"/>
              </w:rPr>
            </w:pPr>
            <w:r>
              <w:rPr>
                <w:rFonts w:ascii="Arial" w:cs="Arial" w:eastAsia="Arial" w:hAnsi="Arial"/>
                <w:sz w:val="14"/>
                <w:szCs w:val="14"/>
                <w:color w:val="auto"/>
              </w:rPr>
              <w:t>$</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4"/>
                <w:szCs w:val="14"/>
                <w:color w:val="auto"/>
              </w:rPr>
              <w:t>29,318,081</w:t>
            </w: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tcPr>
          <w:p>
            <w:pPr>
              <w:jc w:val="right"/>
              <w:ind w:right="80"/>
              <w:spacing w:after="0"/>
              <w:rPr>
                <w:sz w:val="20"/>
                <w:szCs w:val="20"/>
                <w:color w:val="auto"/>
              </w:rPr>
            </w:pPr>
            <w:r>
              <w:rPr>
                <w:rFonts w:ascii="Arial" w:cs="Arial" w:eastAsia="Arial" w:hAnsi="Arial"/>
                <w:sz w:val="14"/>
                <w:szCs w:val="14"/>
                <w:color w:val="auto"/>
              </w:rPr>
              <w:t>29,318</w:t>
            </w:r>
          </w:p>
        </w:tc>
        <w:tc>
          <w:tcPr>
            <w:tcW w:w="160" w:type="dxa"/>
            <w:vAlign w:val="bottom"/>
            <w:gridSpan w:val="2"/>
          </w:tcPr>
          <w:p>
            <w:pPr>
              <w:jc w:val="right"/>
              <w:ind w:right="60"/>
              <w:spacing w:after="0"/>
              <w:rPr>
                <w:sz w:val="20"/>
                <w:szCs w:val="20"/>
                <w:color w:val="auto"/>
              </w:rPr>
            </w:pPr>
            <w:r>
              <w:rPr>
                <w:rFonts w:ascii="Arial" w:cs="Arial" w:eastAsia="Arial" w:hAnsi="Arial"/>
                <w:sz w:val="14"/>
                <w:szCs w:val="14"/>
                <w:color w:val="auto"/>
              </w:rPr>
              <w:t>$</w:t>
            </w:r>
          </w:p>
        </w:tc>
        <w:tc>
          <w:tcPr>
            <w:tcW w:w="860" w:type="dxa"/>
            <w:vAlign w:val="bottom"/>
            <w:gridSpan w:val="2"/>
          </w:tcPr>
          <w:p>
            <w:pPr>
              <w:jc w:val="right"/>
              <w:ind w:right="120"/>
              <w:spacing w:after="0"/>
              <w:rPr>
                <w:sz w:val="20"/>
                <w:szCs w:val="20"/>
                <w:color w:val="auto"/>
              </w:rPr>
            </w:pPr>
            <w:r>
              <w:rPr>
                <w:rFonts w:ascii="Arial" w:cs="Arial" w:eastAsia="Arial" w:hAnsi="Arial"/>
                <w:sz w:val="14"/>
                <w:szCs w:val="14"/>
                <w:color w:val="auto"/>
              </w:rPr>
              <w:t>1,286,424</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2"/>
          </w:tcPr>
          <w:p>
            <w:pPr>
              <w:jc w:val="right"/>
              <w:ind w:right="80"/>
              <w:spacing w:after="0"/>
              <w:rPr>
                <w:sz w:val="20"/>
                <w:szCs w:val="20"/>
                <w:color w:val="auto"/>
              </w:rPr>
            </w:pPr>
            <w:r>
              <w:rPr>
                <w:rFonts w:ascii="Arial" w:cs="Arial" w:eastAsia="Arial" w:hAnsi="Arial"/>
                <w:sz w:val="14"/>
                <w:szCs w:val="14"/>
                <w:color w:val="auto"/>
              </w:rPr>
              <w:t>35,267,919</w:t>
            </w:r>
          </w:p>
        </w:tc>
        <w:tc>
          <w:tcPr>
            <w:tcW w:w="14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000" w:type="dxa"/>
            <w:vAlign w:val="bottom"/>
            <w:gridSpan w:val="4"/>
          </w:tcPr>
          <w:p>
            <w:pPr>
              <w:jc w:val="right"/>
              <w:spacing w:after="0"/>
              <w:rPr>
                <w:sz w:val="20"/>
                <w:szCs w:val="20"/>
                <w:color w:val="auto"/>
              </w:rPr>
            </w:pPr>
            <w:r>
              <w:rPr>
                <w:rFonts w:ascii="Arial" w:cs="Arial" w:eastAsia="Arial" w:hAnsi="Arial"/>
                <w:sz w:val="14"/>
                <w:szCs w:val="14"/>
                <w:color w:val="auto"/>
                <w:w w:val="99"/>
              </w:rPr>
              <w:t>(30,363,122</w:t>
            </w:r>
            <w:r>
              <w:rPr>
                <w:rFonts w:ascii="Arial" w:cs="Arial" w:eastAsia="Arial" w:hAnsi="Arial"/>
                <w:sz w:val="28"/>
                <w:szCs w:val="28"/>
                <w:color w:val="auto"/>
                <w:w w:val="99"/>
                <w:vertAlign w:val="superscript"/>
              </w:rPr>
              <w:t>)</w:t>
            </w:r>
            <w:r>
              <w:rPr>
                <w:rFonts w:ascii="Arial" w:cs="Arial" w:eastAsia="Arial" w:hAnsi="Arial"/>
                <w:sz w:val="14"/>
                <w:szCs w:val="14"/>
                <w:color w:val="auto"/>
                <w:w w:val="99"/>
              </w:rPr>
              <w:t xml:space="preserve"> $</w:t>
            </w:r>
          </w:p>
        </w:tc>
        <w:tc>
          <w:tcPr>
            <w:tcW w:w="740" w:type="dxa"/>
            <w:vAlign w:val="bottom"/>
          </w:tcPr>
          <w:p>
            <w:pPr>
              <w:jc w:val="right"/>
              <w:spacing w:after="0"/>
              <w:rPr>
                <w:sz w:val="20"/>
                <w:szCs w:val="20"/>
                <w:color w:val="auto"/>
              </w:rPr>
            </w:pPr>
            <w:r>
              <w:rPr>
                <w:rFonts w:ascii="Arial" w:cs="Arial" w:eastAsia="Arial" w:hAnsi="Arial"/>
                <w:sz w:val="14"/>
                <w:szCs w:val="14"/>
                <w:color w:val="auto"/>
              </w:rPr>
              <w:t>6,220,539</w:t>
            </w:r>
          </w:p>
        </w:tc>
        <w:tc>
          <w:tcPr>
            <w:tcW w:w="60" w:type="dxa"/>
            <w:vAlign w:val="bottom"/>
          </w:tcPr>
          <w:p>
            <w:pPr>
              <w:spacing w:after="0"/>
              <w:rPr>
                <w:sz w:val="24"/>
                <w:szCs w:val="24"/>
                <w:color w:val="auto"/>
              </w:rPr>
            </w:pPr>
          </w:p>
        </w:tc>
      </w:tr>
      <w:tr>
        <w:trPr>
          <w:trHeight w:val="21"/>
        </w:trPr>
        <w:tc>
          <w:tcPr>
            <w:tcW w:w="8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ind w:left="2520"/>
        <w:spacing w:after="0"/>
        <w:rPr>
          <w:sz w:val="20"/>
          <w:szCs w:val="20"/>
          <w:color w:val="auto"/>
        </w:rPr>
      </w:pPr>
      <w:r>
        <w:rPr>
          <w:rFonts w:ascii="Arial" w:cs="Arial" w:eastAsia="Arial" w:hAnsi="Arial"/>
          <w:sz w:val="22"/>
          <w:szCs w:val="22"/>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-1924685</wp:posOffset>
            </wp:positionH>
            <wp:positionV relativeFrom="paragraph">
              <wp:posOffset>7620</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2">
            <w:col w:w="2320" w:space="720"/>
            <w:col w:w="8380"/>
          </w:cols>
          <w:pgMar w:left="240" w:top="337" w:right="239" w:bottom="1440" w:gutter="0" w:footer="0" w:header="0"/>
        </w:sectPr>
      </w:pPr>
    </w:p>
    <w:bookmarkStart w:id="27" w:name="page28"/>
    <w:bookmarkEnd w:id="27"/>
    <w:p>
      <w:pPr>
        <w:jc w:val="center"/>
        <w:ind w:left="30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left="3040"/>
        <w:spacing w:after="0"/>
        <w:rPr>
          <w:sz w:val="20"/>
          <w:szCs w:val="20"/>
          <w:color w:val="auto"/>
        </w:rPr>
      </w:pPr>
      <w:r>
        <w:rPr>
          <w:rFonts w:ascii="Arial" w:cs="Arial" w:eastAsia="Arial" w:hAnsi="Arial"/>
          <w:sz w:val="18"/>
          <w:szCs w:val="18"/>
          <w:b w:val="1"/>
          <w:bCs w:val="1"/>
          <w:color w:val="auto"/>
        </w:rPr>
        <w:t>Consolidated Statements of Cash Flows for the Years</w:t>
      </w:r>
    </w:p>
    <w:p>
      <w:pPr>
        <w:spacing w:after="0" w:line="9" w:lineRule="exact"/>
        <w:rPr>
          <w:sz w:val="20"/>
          <w:szCs w:val="20"/>
          <w:color w:val="auto"/>
        </w:rPr>
      </w:pPr>
    </w:p>
    <w:p>
      <w:pPr>
        <w:jc w:val="center"/>
        <w:ind w:left="3040"/>
        <w:spacing w:after="0"/>
        <w:rPr>
          <w:sz w:val="20"/>
          <w:szCs w:val="20"/>
          <w:color w:val="auto"/>
        </w:rPr>
      </w:pPr>
      <w:r>
        <w:rPr>
          <w:rFonts w:ascii="Arial" w:cs="Arial" w:eastAsia="Arial" w:hAnsi="Arial"/>
          <w:sz w:val="18"/>
          <w:szCs w:val="18"/>
          <w:b w:val="1"/>
          <w:bCs w:val="1"/>
          <w:color w:val="auto"/>
        </w:rPr>
        <w:t>Ended December 31,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 for the period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Depreciation and amortization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Loss on disposal of assets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options issued for services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Stock-based compensation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Changes in: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receivable related party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Prepaid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 share payable</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Revenue share payable – related party</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Accrued expenses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Deferred revenue</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Purchases of property and equipment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Patent rights</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Intangible Assets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Proceeds from issuance of common stock</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Redemption of common stock</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FINANCING ACTIVITIES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DECREASE IN CASH AND CASH EQUIVALENTS</w:t>
      </w:r>
    </w:p>
    <w:p>
      <w:pPr>
        <w:spacing w:after="0" w:line="27" w:lineRule="exact"/>
        <w:rPr>
          <w:sz w:val="20"/>
          <w:szCs w:val="20"/>
          <w:color w:val="auto"/>
        </w:rPr>
      </w:pPr>
    </w:p>
    <w:p>
      <w:pPr>
        <w:ind w:right="3280"/>
        <w:spacing w:after="0" w:line="323" w:lineRule="auto"/>
        <w:rPr>
          <w:sz w:val="20"/>
          <w:szCs w:val="20"/>
          <w:color w:val="auto"/>
        </w:rPr>
      </w:pPr>
      <w:r>
        <w:rPr>
          <w:rFonts w:ascii="Arial" w:cs="Arial" w:eastAsia="Arial" w:hAnsi="Arial"/>
          <w:sz w:val="17"/>
          <w:szCs w:val="17"/>
          <w:b w:val="1"/>
          <w:bCs w:val="1"/>
          <w:color w:val="auto"/>
        </w:rPr>
        <w:t>CASH AND CASH EQUIVALENTS – BEGINNING OF PERIOD CASH AND CASH EQUIVALENTS – END OF PERIOD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CASH FLOW INFORMATION:</w:t>
      </w:r>
    </w:p>
    <w:p>
      <w:pPr>
        <w:spacing w:after="0" w:line="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paid for interest</w:t>
      </w:r>
    </w:p>
    <w:p>
      <w:pPr>
        <w:spacing w:after="0" w:line="6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Cash paid for income taxes</w:t>
      </w:r>
    </w:p>
    <w:p>
      <w:pPr>
        <w:spacing w:after="0" w:line="33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34" w:lineRule="exact"/>
        <w:rPr>
          <w:sz w:val="20"/>
          <w:szCs w:val="20"/>
          <w:color w:val="auto"/>
        </w:rPr>
      </w:pPr>
    </w:p>
    <w:p>
      <w:pPr>
        <w:ind w:left="5560"/>
        <w:spacing w:after="0"/>
        <w:rPr>
          <w:sz w:val="20"/>
          <w:szCs w:val="20"/>
          <w:color w:val="auto"/>
        </w:rPr>
      </w:pPr>
      <w:r>
        <w:rPr>
          <w:rFonts w:ascii="Arial" w:cs="Arial" w:eastAsia="Arial" w:hAnsi="Arial"/>
          <w:sz w:val="22"/>
          <w:szCs w:val="22"/>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spacing w:after="0" w:line="1" w:lineRule="exact"/>
        <w:rPr>
          <w:sz w:val="1"/>
          <w:szCs w:val="1"/>
          <w:color w:val="auto"/>
        </w:rPr>
      </w:pPr>
    </w:p>
    <w:tbl>
      <w:tblPr>
        <w:tblLayout w:type="fixed"/>
        <w:tblInd w:w="7" w:type="dxa"/>
        <w:tblCellMar>
          <w:top w:w="0" w:type="dxa"/>
          <w:left w:w="0" w:type="dxa"/>
          <w:bottom w:w="0" w:type="dxa"/>
          <w:right w:w="0" w:type="dxa"/>
        </w:tblCellMar>
      </w:tblPr>
      <w:tr>
        <w:trPr>
          <w:trHeight w:val="216"/>
        </w:trPr>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91"/>
              </w:rPr>
              <w:t>For the</w:t>
            </w:r>
          </w:p>
        </w:tc>
        <w:tc>
          <w:tcPr>
            <w:tcW w:w="1140" w:type="dxa"/>
            <w:vAlign w:val="bottom"/>
          </w:tcPr>
          <w:p>
            <w:pPr>
              <w:jc w:val="center"/>
              <w:spacing w:after="0"/>
              <w:rPr>
                <w:sz w:val="20"/>
                <w:szCs w:val="20"/>
                <w:color w:val="auto"/>
              </w:rPr>
            </w:pPr>
            <w:r>
              <w:rPr>
                <w:rFonts w:ascii="Arial" w:cs="Arial" w:eastAsia="Arial" w:hAnsi="Arial"/>
                <w:sz w:val="18"/>
                <w:szCs w:val="18"/>
                <w:color w:val="auto"/>
                <w:w w:val="91"/>
              </w:rPr>
              <w:t>For the</w:t>
            </w:r>
          </w:p>
        </w:tc>
      </w:tr>
      <w:tr>
        <w:trPr>
          <w:trHeight w:val="216"/>
        </w:trPr>
        <w:tc>
          <w:tcPr>
            <w:tcW w:w="1360" w:type="dxa"/>
            <w:vAlign w:val="bottom"/>
            <w:gridSpan w:val="2"/>
          </w:tcPr>
          <w:p>
            <w:pPr>
              <w:jc w:val="center"/>
              <w:ind w:right="260"/>
              <w:spacing w:after="0"/>
              <w:rPr>
                <w:sz w:val="20"/>
                <w:szCs w:val="20"/>
                <w:color w:val="auto"/>
              </w:rPr>
            </w:pPr>
            <w:r>
              <w:rPr>
                <w:rFonts w:ascii="Arial" w:cs="Arial" w:eastAsia="Arial" w:hAnsi="Arial"/>
                <w:sz w:val="18"/>
                <w:szCs w:val="18"/>
                <w:color w:val="auto"/>
                <w:w w:val="86"/>
              </w:rPr>
              <w:t>year ended</w:t>
            </w:r>
          </w:p>
        </w:tc>
        <w:tc>
          <w:tcPr>
            <w:tcW w:w="1140" w:type="dxa"/>
            <w:vAlign w:val="bottom"/>
          </w:tcPr>
          <w:p>
            <w:pPr>
              <w:jc w:val="center"/>
              <w:spacing w:after="0"/>
              <w:rPr>
                <w:sz w:val="20"/>
                <w:szCs w:val="20"/>
                <w:color w:val="auto"/>
              </w:rPr>
            </w:pPr>
            <w:r>
              <w:rPr>
                <w:rFonts w:ascii="Arial" w:cs="Arial" w:eastAsia="Arial" w:hAnsi="Arial"/>
                <w:sz w:val="18"/>
                <w:szCs w:val="18"/>
                <w:color w:val="auto"/>
                <w:w w:val="86"/>
              </w:rPr>
              <w:t>year ended</w:t>
            </w:r>
          </w:p>
        </w:tc>
      </w:tr>
      <w:tr>
        <w:trPr>
          <w:trHeight w:val="216"/>
        </w:trPr>
        <w:tc>
          <w:tcPr>
            <w:tcW w:w="136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December 31,</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December 31,</w:t>
            </w:r>
          </w:p>
        </w:tc>
      </w:tr>
      <w:tr>
        <w:trPr>
          <w:trHeight w:val="237"/>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220" w:type="dxa"/>
            <w:vAlign w:val="bottom"/>
          </w:tcPr>
          <w:p>
            <w:pPr>
              <w:spacing w:after="0"/>
              <w:rPr>
                <w:sz w:val="20"/>
                <w:szCs w:val="20"/>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r>
    </w:tbl>
    <w:p>
      <w:pPr>
        <w:spacing w:after="0" w:line="200" w:lineRule="exact"/>
        <w:rPr>
          <w:sz w:val="20"/>
          <w:szCs w:val="20"/>
          <w:color w:val="auto"/>
        </w:rPr>
      </w:pPr>
    </w:p>
    <w:p>
      <w:pPr>
        <w:spacing w:after="0" w:line="218" w:lineRule="exact"/>
        <w:rPr>
          <w:sz w:val="20"/>
          <w:szCs w:val="20"/>
          <w:color w:val="auto"/>
        </w:rPr>
      </w:pPr>
    </w:p>
    <w:p>
      <w:pPr>
        <w:ind w:left="367" w:hanging="367"/>
        <w:spacing w:after="0"/>
        <w:tabs>
          <w:tab w:leader="none" w:pos="367" w:val="left"/>
        </w:tabs>
        <w:numPr>
          <w:ilvl w:val="0"/>
          <w:numId w:val="14"/>
        </w:numPr>
        <w:rPr>
          <w:rFonts w:ascii="Arial" w:cs="Arial" w:eastAsia="Arial" w:hAnsi="Arial"/>
          <w:sz w:val="18"/>
          <w:szCs w:val="18"/>
          <w:color w:val="auto"/>
        </w:rPr>
      </w:pPr>
      <w:r>
        <w:rPr>
          <w:rFonts w:ascii="Arial" w:cs="Arial" w:eastAsia="Arial" w:hAnsi="Arial"/>
          <w:sz w:val="18"/>
          <w:szCs w:val="18"/>
          <w:color w:val="auto"/>
        </w:rPr>
        <w:t>(2,104,029)  $   (1,539,203)</w:t>
      </w:r>
    </w:p>
    <w:p>
      <w:pPr>
        <w:spacing w:after="0" w:line="225" w:lineRule="exact"/>
        <w:rPr>
          <w:sz w:val="20"/>
          <w:szCs w:val="20"/>
          <w:color w:val="auto"/>
        </w:rPr>
      </w:pPr>
    </w:p>
    <w:p>
      <w:pPr>
        <w:ind w:left="567"/>
        <w:spacing w:after="0"/>
        <w:tabs>
          <w:tab w:leader="none" w:pos="1886" w:val="left"/>
        </w:tabs>
        <w:rPr>
          <w:sz w:val="20"/>
          <w:szCs w:val="20"/>
          <w:color w:val="auto"/>
        </w:rPr>
      </w:pPr>
      <w:r>
        <w:rPr>
          <w:rFonts w:ascii="Arial" w:cs="Arial" w:eastAsia="Arial" w:hAnsi="Arial"/>
          <w:sz w:val="18"/>
          <w:szCs w:val="18"/>
          <w:color w:val="auto"/>
        </w:rPr>
        <w:t>324,551</w:t>
      </w:r>
      <w:r>
        <w:rPr>
          <w:sz w:val="20"/>
          <w:szCs w:val="20"/>
          <w:color w:val="auto"/>
        </w:rPr>
        <w:tab/>
      </w:r>
      <w:r>
        <w:rPr>
          <w:rFonts w:ascii="Arial" w:cs="Arial" w:eastAsia="Arial" w:hAnsi="Arial"/>
          <w:sz w:val="18"/>
          <w:szCs w:val="18"/>
          <w:color w:val="auto"/>
        </w:rPr>
        <w:t>235,284</w:t>
      </w:r>
    </w:p>
    <w:p>
      <w:pPr>
        <w:spacing w:after="0" w:line="23" w:lineRule="exact"/>
        <w:rPr>
          <w:sz w:val="20"/>
          <w:szCs w:val="20"/>
          <w:color w:val="auto"/>
        </w:rPr>
      </w:pPr>
    </w:p>
    <w:p>
      <w:pPr>
        <w:ind w:left="647"/>
        <w:spacing w:after="0"/>
        <w:tabs>
          <w:tab w:leader="none" w:pos="2426" w:val="left"/>
        </w:tabs>
        <w:rPr>
          <w:sz w:val="20"/>
          <w:szCs w:val="20"/>
          <w:color w:val="auto"/>
        </w:rPr>
      </w:pPr>
      <w:r>
        <w:rPr>
          <w:rFonts w:ascii="Arial" w:cs="Arial" w:eastAsia="Arial" w:hAnsi="Arial"/>
          <w:sz w:val="18"/>
          <w:szCs w:val="18"/>
          <w:color w:val="auto"/>
        </w:rPr>
        <w:t>65,738</w:t>
      </w:r>
      <w:r>
        <w:rPr>
          <w:sz w:val="20"/>
          <w:szCs w:val="20"/>
          <w:color w:val="auto"/>
        </w:rPr>
        <w:tab/>
      </w:r>
      <w:r>
        <w:rPr>
          <w:rFonts w:ascii="Arial" w:cs="Arial" w:eastAsia="Arial" w:hAnsi="Arial"/>
          <w:sz w:val="18"/>
          <w:szCs w:val="18"/>
          <w:color w:val="auto"/>
        </w:rPr>
        <w:t>-</w:t>
      </w:r>
    </w:p>
    <w:p>
      <w:pPr>
        <w:spacing w:after="0" w:line="9" w:lineRule="exact"/>
        <w:rPr>
          <w:sz w:val="20"/>
          <w:szCs w:val="20"/>
          <w:color w:val="auto"/>
        </w:rPr>
      </w:pPr>
    </w:p>
    <w:p>
      <w:pPr>
        <w:ind w:left="567"/>
        <w:spacing w:after="0"/>
        <w:tabs>
          <w:tab w:leader="none" w:pos="1886" w:val="left"/>
        </w:tabs>
        <w:rPr>
          <w:sz w:val="20"/>
          <w:szCs w:val="20"/>
          <w:color w:val="auto"/>
        </w:rPr>
      </w:pPr>
      <w:r>
        <w:rPr>
          <w:rFonts w:ascii="Arial" w:cs="Arial" w:eastAsia="Arial" w:hAnsi="Arial"/>
          <w:sz w:val="18"/>
          <w:szCs w:val="18"/>
          <w:color w:val="auto"/>
        </w:rPr>
        <w:t>815,014</w:t>
      </w:r>
      <w:r>
        <w:rPr>
          <w:sz w:val="20"/>
          <w:szCs w:val="20"/>
          <w:color w:val="auto"/>
        </w:rPr>
        <w:tab/>
      </w:r>
      <w:r>
        <w:rPr>
          <w:rFonts w:ascii="Arial" w:cs="Arial" w:eastAsia="Arial" w:hAnsi="Arial"/>
          <w:sz w:val="18"/>
          <w:szCs w:val="18"/>
          <w:color w:val="auto"/>
        </w:rPr>
        <w:t>384,126</w:t>
      </w:r>
    </w:p>
    <w:p>
      <w:pPr>
        <w:spacing w:after="0" w:line="9" w:lineRule="exact"/>
        <w:rPr>
          <w:sz w:val="20"/>
          <w:szCs w:val="20"/>
          <w:color w:val="auto"/>
        </w:rPr>
      </w:pPr>
    </w:p>
    <w:p>
      <w:pPr>
        <w:ind w:left="647"/>
        <w:spacing w:after="0"/>
        <w:tabs>
          <w:tab w:leader="none" w:pos="1886" w:val="left"/>
        </w:tabs>
        <w:rPr>
          <w:sz w:val="20"/>
          <w:szCs w:val="20"/>
          <w:color w:val="auto"/>
        </w:rPr>
      </w:pPr>
      <w:r>
        <w:rPr>
          <w:rFonts w:ascii="Arial" w:cs="Arial" w:eastAsia="Arial" w:hAnsi="Arial"/>
          <w:sz w:val="18"/>
          <w:szCs w:val="18"/>
          <w:color w:val="auto"/>
        </w:rPr>
        <w:t>87,375</w:t>
      </w:r>
      <w:r>
        <w:rPr>
          <w:sz w:val="20"/>
          <w:szCs w:val="20"/>
          <w:color w:val="auto"/>
        </w:rPr>
        <w:tab/>
      </w:r>
      <w:r>
        <w:rPr>
          <w:rFonts w:ascii="Arial" w:cs="Arial" w:eastAsia="Arial" w:hAnsi="Arial"/>
          <w:sz w:val="18"/>
          <w:szCs w:val="18"/>
          <w:color w:val="auto"/>
        </w:rPr>
        <w:t>175,175</w:t>
      </w:r>
    </w:p>
    <w:p>
      <w:pPr>
        <w:spacing w:after="0" w:line="211" w:lineRule="exact"/>
        <w:rPr>
          <w:sz w:val="20"/>
          <w:szCs w:val="20"/>
          <w:color w:val="auto"/>
        </w:rPr>
      </w:pPr>
    </w:p>
    <w:p>
      <w:pPr>
        <w:ind w:left="507"/>
        <w:spacing w:after="0"/>
        <w:tabs>
          <w:tab w:leader="none" w:pos="1886" w:val="left"/>
        </w:tabs>
        <w:rPr>
          <w:sz w:val="20"/>
          <w:szCs w:val="20"/>
          <w:color w:val="auto"/>
        </w:rPr>
      </w:pPr>
      <w:r>
        <w:rPr>
          <w:rFonts w:ascii="Arial" w:cs="Arial" w:eastAsia="Arial" w:hAnsi="Arial"/>
          <w:sz w:val="18"/>
          <w:szCs w:val="18"/>
          <w:color w:val="auto"/>
        </w:rPr>
        <w:t>(305,465)</w:t>
      </w:r>
      <w:r>
        <w:rPr>
          <w:sz w:val="20"/>
          <w:szCs w:val="20"/>
          <w:color w:val="auto"/>
        </w:rPr>
        <w:tab/>
      </w:r>
      <w:r>
        <w:rPr>
          <w:rFonts w:ascii="Arial" w:cs="Arial" w:eastAsia="Arial" w:hAnsi="Arial"/>
          <w:sz w:val="18"/>
          <w:szCs w:val="18"/>
          <w:color w:val="auto"/>
        </w:rPr>
        <w:t>514,514</w:t>
      </w:r>
    </w:p>
    <w:p>
      <w:pPr>
        <w:spacing w:after="0" w:line="23" w:lineRule="exact"/>
        <w:rPr>
          <w:sz w:val="20"/>
          <w:szCs w:val="20"/>
          <w:color w:val="auto"/>
        </w:rPr>
      </w:pPr>
    </w:p>
    <w:p>
      <w:pPr>
        <w:jc w:val="both"/>
        <w:ind w:left="587"/>
        <w:spacing w:after="0"/>
        <w:tabs>
          <w:tab w:leader="none" w:pos="1826" w:val="left"/>
        </w:tabs>
        <w:rPr>
          <w:sz w:val="20"/>
          <w:szCs w:val="20"/>
          <w:color w:val="auto"/>
        </w:rPr>
      </w:pPr>
      <w:r>
        <w:rPr>
          <w:rFonts w:ascii="Arial" w:cs="Arial" w:eastAsia="Arial" w:hAnsi="Arial"/>
          <w:sz w:val="18"/>
          <w:szCs w:val="18"/>
          <w:color w:val="auto"/>
        </w:rPr>
        <w:t>(65,029)</w:t>
      </w:r>
      <w:r>
        <w:rPr>
          <w:sz w:val="20"/>
          <w:szCs w:val="20"/>
          <w:color w:val="auto"/>
        </w:rPr>
        <w:tab/>
      </w:r>
      <w:r>
        <w:rPr>
          <w:rFonts w:ascii="Arial" w:cs="Arial" w:eastAsia="Arial" w:hAnsi="Arial"/>
          <w:sz w:val="18"/>
          <w:szCs w:val="18"/>
          <w:color w:val="auto"/>
        </w:rPr>
        <w:t>(727,460)</w:t>
      </w:r>
    </w:p>
    <w:p>
      <w:pPr>
        <w:spacing w:after="0" w:line="9" w:lineRule="exact"/>
        <w:rPr>
          <w:sz w:val="20"/>
          <w:szCs w:val="20"/>
          <w:color w:val="auto"/>
        </w:rPr>
      </w:pPr>
    </w:p>
    <w:p>
      <w:pPr>
        <w:jc w:val="both"/>
        <w:ind w:left="507"/>
        <w:spacing w:after="0"/>
        <w:tabs>
          <w:tab w:leader="none" w:pos="1926" w:val="left"/>
        </w:tabs>
        <w:rPr>
          <w:sz w:val="20"/>
          <w:szCs w:val="20"/>
          <w:color w:val="auto"/>
        </w:rPr>
      </w:pPr>
      <w:r>
        <w:rPr>
          <w:rFonts w:ascii="Arial" w:cs="Arial" w:eastAsia="Arial" w:hAnsi="Arial"/>
          <w:sz w:val="18"/>
          <w:szCs w:val="18"/>
          <w:color w:val="auto"/>
        </w:rPr>
        <w:t>(174,608)</w:t>
      </w:r>
      <w:r>
        <w:rPr>
          <w:sz w:val="20"/>
          <w:szCs w:val="20"/>
          <w:color w:val="auto"/>
        </w:rPr>
        <w:tab/>
      </w:r>
      <w:r>
        <w:rPr>
          <w:rFonts w:ascii="Arial" w:cs="Arial" w:eastAsia="Arial" w:hAnsi="Arial"/>
          <w:sz w:val="18"/>
          <w:szCs w:val="18"/>
          <w:color w:val="auto"/>
        </w:rPr>
        <w:t>(10,197)</w:t>
      </w:r>
    </w:p>
    <w:p>
      <w:pPr>
        <w:spacing w:after="0" w:line="9" w:lineRule="exact"/>
        <w:rPr>
          <w:sz w:val="20"/>
          <w:szCs w:val="20"/>
          <w:color w:val="auto"/>
        </w:rPr>
      </w:pPr>
    </w:p>
    <w:p>
      <w:pPr>
        <w:jc w:val="both"/>
        <w:ind w:left="647"/>
        <w:spacing w:after="0"/>
        <w:tabs>
          <w:tab w:leader="none" w:pos="1826" w:val="left"/>
        </w:tabs>
        <w:rPr>
          <w:sz w:val="20"/>
          <w:szCs w:val="20"/>
          <w:color w:val="auto"/>
        </w:rPr>
      </w:pPr>
      <w:r>
        <w:rPr>
          <w:rFonts w:ascii="Arial" w:cs="Arial" w:eastAsia="Arial" w:hAnsi="Arial"/>
          <w:sz w:val="18"/>
          <w:szCs w:val="18"/>
          <w:color w:val="auto"/>
        </w:rPr>
        <w:t>88,075</w:t>
      </w:r>
      <w:r>
        <w:rPr>
          <w:sz w:val="20"/>
          <w:szCs w:val="20"/>
          <w:color w:val="auto"/>
        </w:rPr>
        <w:tab/>
      </w:r>
      <w:r>
        <w:rPr>
          <w:rFonts w:ascii="Arial" w:cs="Arial" w:eastAsia="Arial" w:hAnsi="Arial"/>
          <w:sz w:val="18"/>
          <w:szCs w:val="18"/>
          <w:color w:val="auto"/>
        </w:rPr>
        <w:t>(205,977)</w:t>
      </w:r>
    </w:p>
    <w:p>
      <w:pPr>
        <w:spacing w:after="0" w:line="9" w:lineRule="exact"/>
        <w:rPr>
          <w:sz w:val="20"/>
          <w:szCs w:val="20"/>
          <w:color w:val="auto"/>
        </w:rPr>
      </w:pPr>
    </w:p>
    <w:p>
      <w:pPr>
        <w:ind w:left="367"/>
        <w:spacing w:after="0"/>
        <w:tabs>
          <w:tab w:leader="none" w:pos="1886" w:val="left"/>
        </w:tabs>
        <w:rPr>
          <w:sz w:val="20"/>
          <w:szCs w:val="20"/>
          <w:color w:val="auto"/>
        </w:rPr>
      </w:pPr>
      <w:r>
        <w:rPr>
          <w:rFonts w:ascii="Arial" w:cs="Arial" w:eastAsia="Arial" w:hAnsi="Arial"/>
          <w:sz w:val="18"/>
          <w:szCs w:val="18"/>
          <w:color w:val="auto"/>
        </w:rPr>
        <w:t>(1,317,923)</w:t>
      </w:r>
      <w:r>
        <w:rPr>
          <w:sz w:val="20"/>
          <w:szCs w:val="20"/>
          <w:color w:val="auto"/>
        </w:rPr>
        <w:tab/>
      </w:r>
      <w:r>
        <w:rPr>
          <w:rFonts w:ascii="Arial" w:cs="Arial" w:eastAsia="Arial" w:hAnsi="Arial"/>
          <w:sz w:val="18"/>
          <w:szCs w:val="18"/>
          <w:color w:val="auto"/>
        </w:rPr>
        <w:t>177,254</w:t>
      </w:r>
    </w:p>
    <w:p>
      <w:pPr>
        <w:spacing w:after="0" w:line="9" w:lineRule="exact"/>
        <w:rPr>
          <w:sz w:val="20"/>
          <w:szCs w:val="20"/>
          <w:color w:val="auto"/>
        </w:rPr>
      </w:pPr>
    </w:p>
    <w:p>
      <w:pPr>
        <w:ind w:left="567"/>
        <w:spacing w:after="0"/>
        <w:tabs>
          <w:tab w:leader="none" w:pos="1986" w:val="left"/>
        </w:tabs>
        <w:rPr>
          <w:sz w:val="20"/>
          <w:szCs w:val="20"/>
          <w:color w:val="auto"/>
        </w:rPr>
      </w:pPr>
      <w:r>
        <w:rPr>
          <w:rFonts w:ascii="Arial" w:cs="Arial" w:eastAsia="Arial" w:hAnsi="Arial"/>
          <w:sz w:val="18"/>
          <w:szCs w:val="18"/>
          <w:color w:val="auto"/>
        </w:rPr>
        <w:t>320,212</w:t>
      </w:r>
      <w:r>
        <w:rPr>
          <w:sz w:val="20"/>
          <w:szCs w:val="20"/>
          <w:color w:val="auto"/>
        </w:rPr>
        <w:tab/>
      </w:r>
      <w:r>
        <w:rPr>
          <w:rFonts w:ascii="Arial" w:cs="Arial" w:eastAsia="Arial" w:hAnsi="Arial"/>
          <w:sz w:val="18"/>
          <w:szCs w:val="18"/>
          <w:color w:val="auto"/>
        </w:rPr>
        <w:t>89,655</w:t>
      </w:r>
    </w:p>
    <w:p>
      <w:pPr>
        <w:spacing w:after="0" w:line="9" w:lineRule="exact"/>
        <w:rPr>
          <w:sz w:val="20"/>
          <w:szCs w:val="20"/>
          <w:color w:val="auto"/>
        </w:rPr>
      </w:pPr>
    </w:p>
    <w:p>
      <w:pPr>
        <w:ind w:left="567"/>
        <w:spacing w:after="0"/>
        <w:tabs>
          <w:tab w:leader="none" w:pos="1886" w:val="left"/>
        </w:tabs>
        <w:rPr>
          <w:sz w:val="20"/>
          <w:szCs w:val="20"/>
          <w:color w:val="auto"/>
        </w:rPr>
      </w:pPr>
      <w:r>
        <w:rPr>
          <w:rFonts w:ascii="Arial" w:cs="Arial" w:eastAsia="Arial" w:hAnsi="Arial"/>
          <w:sz w:val="18"/>
          <w:szCs w:val="18"/>
          <w:color w:val="auto"/>
        </w:rPr>
        <w:t>665,679</w:t>
      </w:r>
      <w:r>
        <w:rPr>
          <w:sz w:val="20"/>
          <w:szCs w:val="20"/>
          <w:color w:val="auto"/>
        </w:rPr>
        <w:tab/>
      </w:r>
      <w:r>
        <w:rPr>
          <w:rFonts w:ascii="Arial" w:cs="Arial" w:eastAsia="Arial" w:hAnsi="Arial"/>
          <w:sz w:val="18"/>
          <w:szCs w:val="18"/>
          <w:color w:val="auto"/>
        </w:rPr>
        <w:t>281,285</w:t>
      </w:r>
    </w:p>
    <w:p>
      <w:pPr>
        <w:spacing w:after="0" w:line="9" w:lineRule="exact"/>
        <w:rPr>
          <w:sz w:val="20"/>
          <w:szCs w:val="20"/>
          <w:color w:val="auto"/>
        </w:rPr>
      </w:pPr>
    </w:p>
    <w:p>
      <w:pPr>
        <w:ind w:left="567"/>
        <w:spacing w:after="0"/>
        <w:tabs>
          <w:tab w:leader="none" w:pos="1886" w:val="left"/>
        </w:tabs>
        <w:rPr>
          <w:sz w:val="20"/>
          <w:szCs w:val="20"/>
          <w:color w:val="auto"/>
        </w:rPr>
      </w:pPr>
      <w:r>
        <w:rPr>
          <w:rFonts w:ascii="Arial" w:cs="Arial" w:eastAsia="Arial" w:hAnsi="Arial"/>
          <w:sz w:val="18"/>
          <w:szCs w:val="18"/>
          <w:color w:val="auto"/>
        </w:rPr>
        <w:t>120,579</w:t>
      </w:r>
      <w:r>
        <w:rPr>
          <w:sz w:val="20"/>
          <w:szCs w:val="20"/>
          <w:color w:val="auto"/>
        </w:rPr>
        <w:tab/>
      </w:r>
      <w:r>
        <w:rPr>
          <w:rFonts w:ascii="Arial" w:cs="Arial" w:eastAsia="Arial" w:hAnsi="Arial"/>
          <w:sz w:val="18"/>
          <w:szCs w:val="18"/>
          <w:color w:val="auto"/>
        </w:rPr>
        <w:t>159,579</w:t>
      </w:r>
    </w:p>
    <w:p>
      <w:pPr>
        <w:spacing w:after="0" w:line="23" w:lineRule="exact"/>
        <w:rPr>
          <w:sz w:val="20"/>
          <w:szCs w:val="20"/>
          <w:color w:val="auto"/>
        </w:rPr>
      </w:pPr>
    </w:p>
    <w:p>
      <w:pPr>
        <w:jc w:val="right"/>
        <w:spacing w:after="0"/>
        <w:tabs>
          <w:tab w:leader="none" w:pos="700" w:val="left"/>
        </w:tabs>
        <w:rPr>
          <w:sz w:val="20"/>
          <w:szCs w:val="20"/>
          <w:color w:val="auto"/>
        </w:rPr>
      </w:pPr>
      <w:r>
        <w:rPr>
          <w:rFonts w:ascii="Arial" w:cs="Arial" w:eastAsia="Arial" w:hAnsi="Arial"/>
          <w:sz w:val="18"/>
          <w:szCs w:val="18"/>
          <w:color w:val="auto"/>
        </w:rPr>
        <w:t>(1,479,831)</w:t>
      </w:r>
      <w:r>
        <w:rPr>
          <w:sz w:val="20"/>
          <w:szCs w:val="20"/>
          <w:color w:val="auto"/>
        </w:rPr>
        <w:tab/>
      </w:r>
      <w:r>
        <w:rPr>
          <w:rFonts w:ascii="Arial" w:cs="Arial" w:eastAsia="Arial" w:hAnsi="Arial"/>
          <w:sz w:val="16"/>
          <w:szCs w:val="16"/>
          <w:color w:val="auto"/>
        </w:rPr>
        <w:t>(465,965)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158623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58623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-130810</wp:posOffset>
            </wp:positionV>
            <wp:extent cx="158623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45" w:lineRule="exact"/>
        <w:rPr>
          <w:sz w:val="20"/>
          <w:szCs w:val="20"/>
          <w:color w:val="auto"/>
        </w:rPr>
      </w:pPr>
    </w:p>
    <w:p>
      <w:pPr>
        <w:jc w:val="both"/>
        <w:ind w:left="587"/>
        <w:spacing w:after="0"/>
        <w:tabs>
          <w:tab w:leader="none" w:pos="1826" w:val="left"/>
        </w:tabs>
        <w:rPr>
          <w:sz w:val="20"/>
          <w:szCs w:val="20"/>
          <w:color w:val="auto"/>
        </w:rPr>
      </w:pPr>
      <w:r>
        <w:rPr>
          <w:rFonts w:ascii="Arial" w:cs="Arial" w:eastAsia="Arial" w:hAnsi="Arial"/>
          <w:sz w:val="18"/>
          <w:szCs w:val="18"/>
          <w:color w:val="auto"/>
        </w:rPr>
        <w:t>(42,243)</w:t>
      </w:r>
      <w:r>
        <w:rPr>
          <w:sz w:val="20"/>
          <w:szCs w:val="20"/>
          <w:color w:val="auto"/>
        </w:rPr>
        <w:tab/>
      </w:r>
      <w:r>
        <w:rPr>
          <w:rFonts w:ascii="Arial" w:cs="Arial" w:eastAsia="Arial" w:hAnsi="Arial"/>
          <w:sz w:val="18"/>
          <w:szCs w:val="18"/>
          <w:color w:val="auto"/>
        </w:rPr>
        <w:t>(178,434)</w:t>
      </w:r>
    </w:p>
    <w:p>
      <w:pPr>
        <w:spacing w:after="0" w:line="23" w:lineRule="exact"/>
        <w:rPr>
          <w:sz w:val="20"/>
          <w:szCs w:val="20"/>
          <w:color w:val="auto"/>
        </w:rPr>
      </w:pPr>
    </w:p>
    <w:p>
      <w:pPr>
        <w:ind w:left="2027" w:hanging="939"/>
        <w:spacing w:after="0"/>
        <w:tabs>
          <w:tab w:leader="none" w:pos="2027" w:val="left"/>
        </w:tabs>
        <w:numPr>
          <w:ilvl w:val="0"/>
          <w:numId w:val="15"/>
        </w:numPr>
        <w:rPr>
          <w:rFonts w:ascii="Arial" w:cs="Arial" w:eastAsia="Arial" w:hAnsi="Arial"/>
          <w:sz w:val="17"/>
          <w:szCs w:val="17"/>
          <w:color w:val="auto"/>
        </w:rPr>
      </w:pPr>
      <w:r>
        <w:rPr>
          <w:rFonts w:ascii="Arial" w:cs="Arial" w:eastAsia="Arial" w:hAnsi="Arial"/>
          <w:sz w:val="17"/>
          <w:szCs w:val="17"/>
          <w:color w:val="auto"/>
        </w:rPr>
        <w:t>(7,268)</w:t>
      </w:r>
    </w:p>
    <w:p>
      <w:pPr>
        <w:spacing w:after="0" w:line="20" w:lineRule="exact"/>
        <w:rPr>
          <w:rFonts w:ascii="Arial" w:cs="Arial" w:eastAsia="Arial" w:hAnsi="Arial"/>
          <w:sz w:val="17"/>
          <w:szCs w:val="17"/>
          <w:color w:val="auto"/>
        </w:rPr>
      </w:pPr>
    </w:p>
    <w:p>
      <w:pPr>
        <w:ind w:left="1847" w:hanging="759"/>
        <w:spacing w:after="0"/>
        <w:tabs>
          <w:tab w:leader="none" w:pos="1847" w:val="left"/>
        </w:tabs>
        <w:numPr>
          <w:ilvl w:val="0"/>
          <w:numId w:val="15"/>
        </w:numPr>
        <w:rPr>
          <w:rFonts w:ascii="Arial" w:cs="Arial" w:eastAsia="Arial" w:hAnsi="Arial"/>
          <w:sz w:val="16"/>
          <w:szCs w:val="16"/>
          <w:color w:val="auto"/>
        </w:rPr>
      </w:pPr>
      <w:r>
        <w:rPr>
          <w:rFonts w:ascii="Arial" w:cs="Arial" w:eastAsia="Arial" w:hAnsi="Arial"/>
          <w:sz w:val="16"/>
          <w:szCs w:val="16"/>
          <w:color w:val="auto"/>
        </w:rPr>
        <w:t>(163,836)</w:t>
      </w:r>
    </w:p>
    <w:p>
      <w:pPr>
        <w:spacing w:after="0" w:line="46" w:lineRule="exact"/>
        <w:rPr>
          <w:sz w:val="20"/>
          <w:szCs w:val="20"/>
          <w:color w:val="auto"/>
        </w:rPr>
      </w:pPr>
    </w:p>
    <w:p>
      <w:pPr>
        <w:jc w:val="right"/>
        <w:spacing w:after="0"/>
        <w:tabs>
          <w:tab w:leader="none" w:pos="700" w:val="left"/>
        </w:tabs>
        <w:rPr>
          <w:sz w:val="20"/>
          <w:szCs w:val="20"/>
          <w:color w:val="auto"/>
        </w:rPr>
      </w:pPr>
      <w:r>
        <w:rPr>
          <w:rFonts w:ascii="Arial" w:cs="Arial" w:eastAsia="Arial" w:hAnsi="Arial"/>
          <w:sz w:val="18"/>
          <w:szCs w:val="18"/>
          <w:color w:val="auto"/>
        </w:rPr>
        <w:t>(42,243)</w:t>
      </w:r>
      <w:r>
        <w:rPr>
          <w:sz w:val="20"/>
          <w:szCs w:val="20"/>
          <w:color w:val="auto"/>
        </w:rPr>
        <w:tab/>
      </w:r>
      <w:r>
        <w:rPr>
          <w:rFonts w:ascii="Arial" w:cs="Arial" w:eastAsia="Arial" w:hAnsi="Arial"/>
          <w:sz w:val="16"/>
          <w:szCs w:val="16"/>
          <w:color w:val="auto"/>
        </w:rPr>
        <w:t>(349,538)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15862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586230" cy="1714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-130810</wp:posOffset>
            </wp:positionV>
            <wp:extent cx="158623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45" w:lineRule="exact"/>
        <w:rPr>
          <w:sz w:val="20"/>
          <w:szCs w:val="20"/>
          <w:color w:val="auto"/>
        </w:rPr>
      </w:pPr>
    </w:p>
    <w:p>
      <w:pPr>
        <w:ind w:left="1907" w:hanging="819"/>
        <w:spacing w:after="0"/>
        <w:tabs>
          <w:tab w:leader="none" w:pos="1907" w:val="left"/>
        </w:tabs>
        <w:numPr>
          <w:ilvl w:val="0"/>
          <w:numId w:val="16"/>
        </w:numPr>
        <w:rPr>
          <w:rFonts w:ascii="Arial" w:cs="Arial" w:eastAsia="Arial" w:hAnsi="Arial"/>
          <w:sz w:val="18"/>
          <w:szCs w:val="18"/>
          <w:color w:val="auto"/>
        </w:rPr>
      </w:pPr>
      <w:r>
        <w:rPr>
          <w:rFonts w:ascii="Arial" w:cs="Arial" w:eastAsia="Arial" w:hAnsi="Arial"/>
          <w:sz w:val="18"/>
          <w:szCs w:val="18"/>
          <w:color w:val="auto"/>
        </w:rPr>
        <w:t>449,500</w:t>
      </w:r>
    </w:p>
    <w:p>
      <w:pPr>
        <w:spacing w:after="0" w:line="23" w:lineRule="exact"/>
        <w:rPr>
          <w:rFonts w:ascii="Arial" w:cs="Arial" w:eastAsia="Arial" w:hAnsi="Arial"/>
          <w:sz w:val="18"/>
          <w:szCs w:val="18"/>
          <w:color w:val="auto"/>
        </w:rPr>
      </w:pPr>
    </w:p>
    <w:p>
      <w:pPr>
        <w:ind w:left="507"/>
        <w:spacing w:after="0"/>
        <w:rPr>
          <w:rFonts w:ascii="Arial" w:cs="Arial" w:eastAsia="Arial" w:hAnsi="Arial"/>
          <w:sz w:val="18"/>
          <w:szCs w:val="18"/>
          <w:color w:val="auto"/>
        </w:rPr>
      </w:pPr>
      <w:r>
        <w:rPr>
          <w:rFonts w:ascii="Arial" w:cs="Arial" w:eastAsia="Arial" w:hAnsi="Arial"/>
          <w:sz w:val="18"/>
          <w:szCs w:val="18"/>
          <w:color w:val="auto"/>
        </w:rPr>
        <w:t>(390,000)</w:t>
      </w:r>
      <w:r>
        <w:rPr>
          <w:rFonts w:ascii="Arial" w:cs="Arial" w:eastAsia="Arial" w:hAnsi="Arial"/>
          <w:sz w:val="16"/>
          <w:szCs w:val="16"/>
          <w:color w:val="auto"/>
        </w:rPr>
        <w:t>(806,915)</w:t>
      </w:r>
    </w:p>
    <w:p>
      <w:pPr>
        <w:spacing w:after="0" w:line="22" w:lineRule="exact"/>
        <w:rPr>
          <w:rFonts w:ascii="Arial" w:cs="Arial" w:eastAsia="Arial" w:hAnsi="Arial"/>
          <w:sz w:val="18"/>
          <w:szCs w:val="18"/>
          <w:color w:val="auto"/>
        </w:rPr>
      </w:pPr>
    </w:p>
    <w:p>
      <w:pPr>
        <w:ind w:left="507"/>
        <w:spacing w:after="0"/>
        <w:rPr>
          <w:rFonts w:ascii="Arial" w:cs="Arial" w:eastAsia="Arial" w:hAnsi="Arial"/>
          <w:sz w:val="18"/>
          <w:szCs w:val="18"/>
          <w:color w:val="auto"/>
        </w:rPr>
      </w:pPr>
      <w:r>
        <w:rPr>
          <w:rFonts w:ascii="Arial" w:cs="Arial" w:eastAsia="Arial" w:hAnsi="Arial"/>
          <w:sz w:val="18"/>
          <w:szCs w:val="18"/>
          <w:color w:val="auto"/>
        </w:rPr>
        <w:t>(390,000)</w:t>
      </w:r>
      <w:r>
        <w:rPr>
          <w:rFonts w:ascii="Arial" w:cs="Arial" w:eastAsia="Arial" w:hAnsi="Arial"/>
          <w:sz w:val="16"/>
          <w:szCs w:val="16"/>
          <w:color w:val="auto"/>
        </w:rPr>
        <w:t>(357,415)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58623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36" w:lineRule="exact"/>
        <w:rPr>
          <w:sz w:val="20"/>
          <w:szCs w:val="20"/>
          <w:color w:val="auto"/>
        </w:rPr>
      </w:pPr>
    </w:p>
    <w:tbl>
      <w:tblPr>
        <w:tblLayout w:type="fixed"/>
        <w:tblInd w:w="7"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02"/>
        </w:trPr>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(1,912,074)</w:t>
            </w: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(1,172,918)</w:t>
            </w:r>
          </w:p>
        </w:tc>
      </w:tr>
      <w:tr>
        <w:trPr>
          <w:trHeight w:val="230"/>
        </w:trPr>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7,034,647</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8,207,565</w:t>
            </w:r>
          </w:p>
        </w:tc>
        <w:tc>
          <w:tcPr>
            <w:tcW w:w="4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50"/>
        </w:trPr>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5,122,573</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7,034,647</w:t>
            </w:r>
          </w:p>
        </w:tc>
        <w:tc>
          <w:tcPr>
            <w:tcW w:w="40" w:type="dxa"/>
            <w:vAlign w:val="bottom"/>
          </w:tcPr>
          <w:p>
            <w:pPr>
              <w:spacing w:after="0"/>
              <w:rPr>
                <w:sz w:val="21"/>
                <w:szCs w:val="21"/>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80"/>
        </w:trPr>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4"/>
                <w:szCs w:val="24"/>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9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tcBorders>
            <w:gridSpan w:val="2"/>
          </w:tcPr>
          <w:p>
            <w:pPr>
              <w:spacing w:after="0" w:line="20" w:lineRule="exact"/>
              <w:rPr>
                <w:sz w:val="1"/>
                <w:szCs w:val="1"/>
                <w:color w:val="auto"/>
              </w:rPr>
            </w:pPr>
          </w:p>
        </w:tc>
        <w:tc>
          <w:tcPr>
            <w:tcW w:w="940" w:type="dxa"/>
            <w:vAlign w:val="bottom"/>
            <w:tcBorders>
              <w:top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3"/>
        </w:trPr>
        <w:tc>
          <w:tcPr>
            <w:tcW w:w="20" w:type="dxa"/>
            <w:vAlign w:val="bottom"/>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1"/>
        </w:trPr>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2">
            <w:col w:w="8380" w:space="433"/>
            <w:col w:w="2567"/>
          </w:cols>
          <w:pgMar w:left="240" w:top="337" w:right="27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ORGANIZATION AND NATURE OF BUSINESS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OptimizeRx Corporation is a leading provider of digital health messaging via electronic health records (EHRs), providing a direct channel for pharmaceutical companies to communicate with healthcare providers. The company’s cloud-based solution supports patient adherence to medications by providing real-time access to financial assistance, prior authorization, education and critical clinical information. The company’s network is comprised of leading EHR platforms and provides more than half a million healthcare providers access to these benefits within their workflow at the point of care.</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company was originally formed as Optimizer Systems, LLC in the State of Michigan on January 31, 2006. It converted its form to a corporation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its wholly-owned subsidiary (together, “OptimizeRx” and “the Company”).</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 The Company has adopted a December 31 fiscal year-end.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fair value of cash, accounts receivable, prepaid expenses, accounts payable, accounts payable – related party, accrued expenses and deferred revenue approximates the carrying amount of these financial instruments due to their short-term nature.</w:t>
      </w:r>
    </w:p>
    <w:p>
      <w:pPr>
        <w:spacing w:after="0" w:line="1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Because the Company’s customers are primarily large well-capitalized companies, historically there has been very little bad debt expense. Bad debt expense was $0 for each of the years ended December 31, 2017 and 2016. The allowance for doubtful accounts was $0 as of both December 31, 2017 and 2016.</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Property and equipment are stated at cost and are being depreciated over their estimated useful lives of three to five years for office equipment and three years for computer equipment using the straight-line method of depreciation for book purposes. Maintenance and repair charges are expensed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Intangible Assets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Intangible assets are stated at cost and are being amortized over their estimated useful lives of seventeen years for patents and three to four years for software and websites using the straight-line method.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Revenue is recognized when it is earned. Revenues are primarily generated from content delivery activities in which the Company delivers financial or brand messaging through a distribution network of ePrescribers and Electronic Health Record technology providers (channel partners), or from reselling services that complement the business for other partners.</w:t>
      </w:r>
    </w:p>
    <w:p>
      <w:pPr>
        <w:spacing w:after="0" w:line="1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recognizes setup fees that are required for integrating client offerings and campaigns into the rule-based content delivery system and network upon completion of the setup when the client’s campaign is ready to launch within the system. As the messaging is distributed through the platform and network of channel partners (a transaction), these transactions are recorded, and revenue is recognized, at the time of distribution. Revenue for transactions can be realized based on a price per message, a price per redemption, or as a flat fee over a period of time,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charged monthly and recognized as recurring monthly revenue.</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some instances, the Company also resells products and or services that are available through channel partners on a commission basis, and that are complementary to the core business and client base. In these instances, net revenue is recognized based on the commission based revenue split that the Company receives. In instances where the Company resells services and have all financial risk and significant operation input and risk, the Company records the revenue gross.</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Based on the volume of transactions that are delivered through the channel partner network, the Company provides a revenue share to compensate the partner for their promotion of the campaign. Revenue shares are a negotiated percentage of the transaction fees and can also be specific to special considerations and campaigns. In addition, the Company pays revenue share to ConnectiveRx (formerly LDM/PDR) as a result of a 2014 legal settlement in an amount equal to the greater of 10% of financial messaging distribution revenues generated through the network, or $0.37 per financial message distributed through our network. The contractual amount due to the channel partners is recorded as an expense at the time the eCoupon is distributed.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basis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recognizes the tax benefit from uncertain tax positions if it is more likely than not that the tax positions will be sustained on examination by the tax authorities, based on the technical merits of the position. The tax benefit is measured based on the largest benefit that has a greater than 50% likelihood of being realized upon ultimate settlement. It is the Company’s policy to include interest and penalties related to tax positions as a component of income tax expense.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carrying value of assets, depreciable and amortizable lives of tangible and intangible assets, the carrying value of liabilities, the amount of revenue to be billed, and the timing of revenue recognition and related revenue share expenses. Actual results could differ from these estimates.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 expenses research and development expenses as incurred. Our research efforts are focused on understanding the market dynamics that have the potential to affect the business and increase revenue in both the short and long term. Our primary goal is to increase revenue by helping patients better afford and access the medicines their doctors prescribe, as well as other healthcare products and services they need. Based on this, the Company continually seeks ways to improve its technology to enhance user experiences, and to develop new services and solutions for its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Share-based Payments</w:t>
      </w:r>
    </w:p>
    <w:p>
      <w:pPr>
        <w:spacing w:after="0" w:line="2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Company uses the fair value method to account for stock-based compensation. The fair value of the equity instrument is charged directly to compensation expense and additional paid-in capital over the period during which services are rendered. The fair value of each award is estimated on the date of each grant. For restricted stock, the fair market value is based on the market value of the stock granted on the date of the grant. For options, it is estimated using the Black-Scholes option pricing model that uses the assumptions noted in the following table. Estimated volatilities are based on the historical volatility of the Company’s stock over the same period as the expected term of the options. The expected term of options granted represents the period of time that options granted are expected to be outstanding. The Company uses historical data to estimate option exercise behavior and to determine this term. The risk free rate used is based on the U.S. Treasury yield curve in effect at the time of the grant using a time period equal to the expected option term. The Company has never paid dividends and does not expect to pay any dividends in the future.</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836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2017</w:t>
            </w:r>
          </w:p>
        </w:tc>
        <w:tc>
          <w:tcPr>
            <w:tcW w:w="100" w:type="dxa"/>
            <w:vAlign w:val="bottom"/>
          </w:tcPr>
          <w:p>
            <w:pPr>
              <w:spacing w:after="0"/>
              <w:rPr>
                <w:sz w:val="20"/>
                <w:szCs w:val="20"/>
                <w:color w:val="auto"/>
              </w:rPr>
            </w:pPr>
          </w:p>
        </w:tc>
        <w:tc>
          <w:tcPr>
            <w:tcW w:w="1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2016</w:t>
            </w:r>
          </w:p>
        </w:tc>
      </w:tr>
      <w:tr>
        <w:trPr>
          <w:trHeight w:val="418"/>
        </w:trPr>
        <w:tc>
          <w:tcPr>
            <w:tcW w:w="83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Risk free interest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1.47% - 1.81%</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0.86%-1.15%</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Expected option term</w:t>
            </w:r>
          </w:p>
        </w:tc>
        <w:tc>
          <w:tcPr>
            <w:tcW w:w="1580" w:type="dxa"/>
            <w:vAlign w:val="bottom"/>
            <w:gridSpan w:val="2"/>
          </w:tcPr>
          <w:p>
            <w:pPr>
              <w:ind w:left="280"/>
              <w:spacing w:after="0"/>
              <w:rPr>
                <w:sz w:val="20"/>
                <w:szCs w:val="20"/>
                <w:color w:val="auto"/>
              </w:rPr>
            </w:pPr>
            <w:r>
              <w:rPr>
                <w:rFonts w:ascii="Arial" w:cs="Arial" w:eastAsia="Arial" w:hAnsi="Arial"/>
                <w:sz w:val="18"/>
                <w:szCs w:val="18"/>
                <w:color w:val="auto"/>
              </w:rPr>
              <w:t>3.5 – 5 years</w:t>
            </w:r>
          </w:p>
        </w:tc>
        <w:tc>
          <w:tcPr>
            <w:tcW w:w="1480" w:type="dxa"/>
            <w:vAlign w:val="bottom"/>
          </w:tcPr>
          <w:p>
            <w:pPr>
              <w:ind w:left="420"/>
              <w:spacing w:after="0"/>
              <w:rPr>
                <w:sz w:val="20"/>
                <w:szCs w:val="20"/>
                <w:color w:val="auto"/>
              </w:rPr>
            </w:pPr>
            <w:r>
              <w:rPr>
                <w:rFonts w:ascii="Arial" w:cs="Arial" w:eastAsia="Arial" w:hAnsi="Arial"/>
                <w:sz w:val="18"/>
                <w:szCs w:val="18"/>
                <w:color w:val="auto"/>
              </w:rPr>
              <w:t>4.5 years</w:t>
            </w:r>
          </w:p>
        </w:tc>
      </w:tr>
      <w:tr>
        <w:trPr>
          <w:trHeight w:val="216"/>
        </w:trPr>
        <w:tc>
          <w:tcPr>
            <w:tcW w:w="8360" w:type="dxa"/>
            <w:vAlign w:val="bottom"/>
          </w:tcPr>
          <w:p>
            <w:pPr>
              <w:spacing w:after="0"/>
              <w:rPr>
                <w:sz w:val="20"/>
                <w:szCs w:val="20"/>
                <w:color w:val="auto"/>
              </w:rPr>
            </w:pPr>
            <w:r>
              <w:rPr>
                <w:rFonts w:ascii="Arial" w:cs="Arial" w:eastAsia="Arial" w:hAnsi="Arial"/>
                <w:sz w:val="18"/>
                <w:szCs w:val="18"/>
                <w:color w:val="auto"/>
              </w:rPr>
              <w:t>Turnover/forfeiture rate</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18"/>
                <w:szCs w:val="18"/>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0%</w:t>
            </w:r>
          </w:p>
        </w:tc>
      </w:tr>
      <w:tr>
        <w:trPr>
          <w:trHeight w:val="230"/>
        </w:trPr>
        <w:tc>
          <w:tcPr>
            <w:tcW w:w="8360" w:type="dxa"/>
            <w:vAlign w:val="bottom"/>
          </w:tcPr>
          <w:p>
            <w:pPr>
              <w:spacing w:after="0"/>
              <w:rPr>
                <w:sz w:val="20"/>
                <w:szCs w:val="20"/>
                <w:color w:val="auto"/>
              </w:rPr>
            </w:pPr>
            <w:r>
              <w:rPr>
                <w:rFonts w:ascii="Arial" w:cs="Arial" w:eastAsia="Arial" w:hAnsi="Arial"/>
                <w:sz w:val="18"/>
                <w:szCs w:val="18"/>
                <w:color w:val="auto"/>
              </w:rPr>
              <w:t>Expected volatility</w:t>
            </w:r>
          </w:p>
        </w:tc>
        <w:tc>
          <w:tcPr>
            <w:tcW w:w="1480" w:type="dxa"/>
            <w:vAlign w:val="bottom"/>
          </w:tcPr>
          <w:p>
            <w:pPr>
              <w:jc w:val="center"/>
              <w:spacing w:after="0"/>
              <w:rPr>
                <w:sz w:val="20"/>
                <w:szCs w:val="20"/>
                <w:color w:val="auto"/>
              </w:rPr>
            </w:pPr>
            <w:r>
              <w:rPr>
                <w:rFonts w:ascii="Arial" w:cs="Arial" w:eastAsia="Arial" w:hAnsi="Arial"/>
                <w:sz w:val="18"/>
                <w:szCs w:val="18"/>
                <w:color w:val="auto"/>
                <w:w w:val="92"/>
              </w:rPr>
              <w:t>65%-78%</w:t>
            </w:r>
          </w:p>
        </w:tc>
        <w:tc>
          <w:tcPr>
            <w:tcW w:w="100" w:type="dxa"/>
            <w:vAlign w:val="bottom"/>
          </w:tcPr>
          <w:p>
            <w:pPr>
              <w:spacing w:after="0"/>
              <w:rPr>
                <w:sz w:val="20"/>
                <w:szCs w:val="20"/>
                <w:color w:val="auto"/>
              </w:rPr>
            </w:pP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91% - 99%</w:t>
            </w: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Black-Scholes option valuation model and other existing models were developed for use in estimating the fair value of traded options that have no vesting restrictions and are fully transferable. These option valuation models require the input of, and are highly sensitive to, subjective assumptions including the expected stock price volatility. OptimizeRx’s stock options have characteristics significantly different from those of traded options, and changes in the subjective input assumptions could materially affect the fair value estimate.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Loss Per Common and Common Equivalent Share</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The number of common shares potentially issuable upon the exercise of certain options and warrants that were excluded from the diluted loss per common share calculation was approximately 489,201, because they are anti-dilutive, as a result of a net loss for the year ended December 31, 2017. As described in Notes 11 and 12, the Company had options and warrants outstanding as indicated in the table below.</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5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r>
      <w:tr>
        <w:trPr>
          <w:trHeight w:val="418"/>
        </w:trPr>
        <w:tc>
          <w:tcPr>
            <w:tcW w:w="5580" w:type="dxa"/>
            <w:vAlign w:val="bottom"/>
          </w:tcPr>
          <w:p>
            <w:pPr>
              <w:spacing w:after="0"/>
              <w:rPr>
                <w:sz w:val="20"/>
                <w:szCs w:val="20"/>
                <w:color w:val="auto"/>
              </w:rPr>
            </w:pPr>
            <w:r>
              <w:rPr>
                <w:rFonts w:ascii="Arial" w:cs="Arial" w:eastAsia="Arial" w:hAnsi="Arial"/>
                <w:sz w:val="18"/>
                <w:szCs w:val="18"/>
                <w:color w:val="auto"/>
              </w:rPr>
              <w:t>Options</w:t>
            </w:r>
          </w:p>
        </w:tc>
        <w:tc>
          <w:tcPr>
            <w:tcW w:w="3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4,106,250</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3,120,000</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Warrants</w:t>
            </w:r>
          </w:p>
        </w:tc>
        <w:tc>
          <w:tcPr>
            <w:tcW w:w="3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1,044,583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2,044,583</w:t>
            </w:r>
          </w:p>
        </w:tc>
      </w:tr>
      <w:tr>
        <w:trPr>
          <w:trHeight w:val="230"/>
        </w:trPr>
        <w:tc>
          <w:tcPr>
            <w:tcW w:w="5580" w:type="dxa"/>
            <w:vAlign w:val="bottom"/>
          </w:tcPr>
          <w:p>
            <w:pPr>
              <w:spacing w:after="0"/>
              <w:rPr>
                <w:sz w:val="20"/>
                <w:szCs w:val="20"/>
                <w:color w:val="auto"/>
              </w:rPr>
            </w:pPr>
            <w:r>
              <w:rPr>
                <w:rFonts w:ascii="Arial" w:cs="Arial" w:eastAsia="Arial" w:hAnsi="Arial"/>
                <w:sz w:val="18"/>
                <w:szCs w:val="18"/>
                <w:color w:val="auto"/>
              </w:rPr>
              <w:t>Weighted average exercise price</w:t>
            </w:r>
          </w:p>
        </w:tc>
        <w:tc>
          <w:tcPr>
            <w:tcW w:w="3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1.06</w:t>
            </w:r>
          </w:p>
        </w:tc>
        <w:tc>
          <w:tcPr>
            <w:tcW w:w="3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1.34</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February 2016, the FASB issued ASU No. 2016-02, Leases (Topic 842) (“ASU 2016-02”), which modifies lease accounting for lessees to increase transparency and comparability by recording lease assets and liabilities for operating leases and disclosing key information about leasing arrangements. The Company will adopt ASU 2016-02 in its first quarter of 2019. While the Company is currently evaluating the timing and impact of adopting ASU 2016-02, currently the Company anticipates no material impact to its Consolidated Statements of Operations. However, the ultimate impact of adopting ASU 2016-02 will depend on the Company’s lease portfolio as of the adoption date.</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2014, the FASB issued ASU No. 2014-09, Revenue from Contracts with Customers (Topic 606) (“ASU 2014-09”), which amends the existing accounting standards for revenue recognition. ASU 2014-09 is based on principles that govern the recognition of revenue at an amount an entity expects to be entitled when products are transferred to customers.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Subsequently, the FASB has issued the following standards related to ASU 2014-09: ASU No. 2016-08, Revenue from Contracts with Customers (Topic 606):</w:t>
      </w:r>
    </w:p>
    <w:p>
      <w:pPr>
        <w:spacing w:after="0" w:line="4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Principal versus Agent Considerations (“ASU 2016-08”); ASU No. 2016-10, Revenue from Contracts with Customers (Topic 606): Identifying Performance Obligations and Licensing (“ASU 2016-10”); ASU No. 2016-12, Revenue from Contracts with Customers (Topic 606): Narrow-Scope Improvements and Practical Expedients (“ASU 2016-12”); and ASU No. 2016-20, Technical Corrections and Improvements to Topic 606, Revenue from Contracts with Customers (“ASU 2016-20”). The Company must adopt ASU 2016-08, ASU 2016-10, ASU 2016-12 and ASU 2016-20 with ASU 2014-09 (collectively, the “new revenue standards”).</w:t>
      </w:r>
    </w:p>
    <w:p>
      <w:pPr>
        <w:spacing w:after="0" w:line="19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new revenue standards may be applied retrospectively to each prior period presented or retrospectively with the cumulative effect recognized as of the date of adoption. The Company will adopt the new revenue standards in its first quarter of 2018. The new revenue standards are not expected to have a material impact on the amount and timing of revenue recognized in the Company’s consolidated financial statements.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80" w:type="dxa"/>
            <w:vAlign w:val="bottom"/>
          </w:tcPr>
          <w:p>
            <w:pPr>
              <w:spacing w:after="0"/>
              <w:rPr>
                <w:sz w:val="20"/>
                <w:szCs w:val="20"/>
                <w:color w:val="auto"/>
              </w:rPr>
            </w:pPr>
            <w:r>
              <w:rPr>
                <w:rFonts w:ascii="Arial" w:cs="Arial" w:eastAsia="Arial" w:hAnsi="Arial"/>
                <w:sz w:val="18"/>
                <w:szCs w:val="18"/>
                <w:color w:val="auto"/>
              </w:rPr>
              <w:t>NOTE 3 – PREPAID EXPENSES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rPr>
              <w:t>Prepaid expenses consisted of the following as of December 31, 2017 and 2016: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Insurance</w:t>
            </w:r>
          </w:p>
        </w:tc>
        <w:tc>
          <w:tcPr>
            <w:tcW w:w="14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43,764</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43,608</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Rent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8,539</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EHR access fees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203,125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Legal</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30,000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680" w:type="dxa"/>
            <w:vAlign w:val="bottom"/>
            <w:vMerge w:val="restart"/>
          </w:tcPr>
          <w:p>
            <w:pPr>
              <w:spacing w:after="0"/>
              <w:rPr>
                <w:sz w:val="20"/>
                <w:szCs w:val="20"/>
                <w:color w:val="auto"/>
              </w:rPr>
            </w:pPr>
            <w:r>
              <w:rPr>
                <w:rFonts w:ascii="Arial" w:cs="Arial" w:eastAsia="Arial" w:hAnsi="Arial"/>
                <w:sz w:val="18"/>
                <w:szCs w:val="18"/>
                <w:color w:val="auto"/>
              </w:rPr>
              <w:t>Total prepaid expenses</w:t>
            </w: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255,428</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80,820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vMerge w:val="restart"/>
          </w:tcPr>
          <w:p>
            <w:pPr>
              <w:spacing w:after="0"/>
              <w:rPr>
                <w:sz w:val="20"/>
                <w:szCs w:val="20"/>
                <w:color w:val="auto"/>
              </w:rPr>
            </w:pPr>
            <w:r>
              <w:rPr>
                <w:rFonts w:ascii="Arial" w:cs="Arial" w:eastAsia="Arial" w:hAnsi="Arial"/>
                <w:sz w:val="18"/>
                <w:szCs w:val="18"/>
                <w:color w:val="auto"/>
              </w:rPr>
              <w:t>NOTE 4 – PROPERTY AND EQUIPMENT</w:t>
            </w: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32"/>
        </w:trPr>
        <w:tc>
          <w:tcPr>
            <w:tcW w:w="868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80" w:type="dxa"/>
            <w:vAlign w:val="bottom"/>
          </w:tcPr>
          <w:p>
            <w:pPr>
              <w:spacing w:after="0"/>
              <w:rPr>
                <w:sz w:val="20"/>
                <w:szCs w:val="20"/>
                <w:color w:val="auto"/>
              </w:rPr>
            </w:pPr>
            <w:r>
              <w:rPr>
                <w:rFonts w:ascii="Arial" w:cs="Arial" w:eastAsia="Arial" w:hAnsi="Arial"/>
                <w:sz w:val="18"/>
                <w:szCs w:val="18"/>
                <w:color w:val="auto"/>
                <w:w w:val="91"/>
              </w:rPr>
              <w:t>The Company owned equipment recorded at cost which consisted of the following as of December 31, 2017 and 2016:</w:t>
            </w: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680" w:type="dxa"/>
            <w:vAlign w:val="bottom"/>
          </w:tcPr>
          <w:p>
            <w:pPr>
              <w:spacing w:after="0" w:line="201" w:lineRule="exact"/>
              <w:rPr>
                <w:sz w:val="20"/>
                <w:szCs w:val="20"/>
                <w:color w:val="auto"/>
              </w:rPr>
            </w:pPr>
            <w:r>
              <w:rPr>
                <w:rFonts w:ascii="Arial" w:cs="Arial" w:eastAsia="Arial" w:hAnsi="Arial"/>
                <w:sz w:val="18"/>
                <w:szCs w:val="18"/>
                <w:color w:val="auto"/>
              </w:rPr>
              <w:t>Computer equipment</w:t>
            </w:r>
          </w:p>
        </w:tc>
        <w:tc>
          <w:tcPr>
            <w:tcW w:w="14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83,079</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66,433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8680" w:type="dxa"/>
            <w:vAlign w:val="bottom"/>
          </w:tcPr>
          <w:p>
            <w:pPr>
              <w:spacing w:after="0"/>
              <w:rPr>
                <w:sz w:val="20"/>
                <w:szCs w:val="20"/>
                <w:color w:val="auto"/>
              </w:rPr>
            </w:pPr>
            <w:r>
              <w:rPr>
                <w:rFonts w:ascii="Arial" w:cs="Arial" w:eastAsia="Arial" w:hAnsi="Arial"/>
                <w:sz w:val="18"/>
                <w:szCs w:val="18"/>
                <w:color w:val="auto"/>
              </w:rPr>
              <w:t>Furniture and fixtures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158,502</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132,905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8680" w:type="dxa"/>
            <w:vAlign w:val="bottom"/>
          </w:tcPr>
          <w:p>
            <w:pPr>
              <w:ind w:left="180"/>
              <w:spacing w:after="0" w:line="201" w:lineRule="exact"/>
              <w:rPr>
                <w:sz w:val="20"/>
                <w:szCs w:val="20"/>
                <w:color w:val="auto"/>
              </w:rPr>
            </w:pPr>
            <w:r>
              <w:rPr>
                <w:rFonts w:ascii="Arial" w:cs="Arial" w:eastAsia="Arial" w:hAnsi="Arial"/>
                <w:sz w:val="18"/>
                <w:szCs w:val="18"/>
                <w:color w:val="auto"/>
              </w:rPr>
              <w:t>Subtotal</w:t>
            </w:r>
          </w:p>
        </w:tc>
        <w:tc>
          <w:tcPr>
            <w:tcW w:w="1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241,581</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199,338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8680" w:type="dxa"/>
            <w:vAlign w:val="bottom"/>
          </w:tcPr>
          <w:p>
            <w:pPr>
              <w:spacing w:after="0"/>
              <w:rPr>
                <w:sz w:val="20"/>
                <w:szCs w:val="20"/>
                <w:color w:val="auto"/>
              </w:rPr>
            </w:pPr>
            <w:r>
              <w:rPr>
                <w:rFonts w:ascii="Arial" w:cs="Arial" w:eastAsia="Arial" w:hAnsi="Arial"/>
                <w:sz w:val="18"/>
                <w:szCs w:val="18"/>
                <w:color w:val="auto"/>
              </w:rPr>
              <w:t>Accumulated depreciation</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74,276</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(25,689)</w:t>
            </w:r>
          </w:p>
        </w:tc>
        <w:tc>
          <w:tcPr>
            <w:tcW w:w="0" w:type="dxa"/>
            <w:vAlign w:val="bottom"/>
          </w:tcPr>
          <w:p>
            <w:pPr>
              <w:spacing w:after="0"/>
              <w:rPr>
                <w:sz w:val="1"/>
                <w:szCs w:val="1"/>
                <w:color w:val="auto"/>
              </w:rPr>
            </w:pPr>
          </w:p>
        </w:tc>
      </w:tr>
      <w:tr>
        <w:trPr>
          <w:trHeight w:val="27"/>
        </w:trPr>
        <w:tc>
          <w:tcPr>
            <w:tcW w:w="8680" w:type="dxa"/>
            <w:vAlign w:val="bottom"/>
            <w:vMerge w:val="restart"/>
          </w:tcPr>
          <w:p>
            <w:pPr>
              <w:ind w:left="18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680" w:type="dxa"/>
            <w:vAlign w:val="bottom"/>
            <w:vMerge w:val="continue"/>
          </w:tcPr>
          <w:p>
            <w:pPr>
              <w:spacing w:after="0"/>
              <w:rPr>
                <w:sz w:val="21"/>
                <w:szCs w:val="21"/>
                <w:color w:val="auto"/>
              </w:rPr>
            </w:pPr>
          </w:p>
        </w:tc>
        <w:tc>
          <w:tcPr>
            <w:tcW w:w="3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167,305</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173,649</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$48,587 and $22,414 for the years ended December 31, 2017 and 2016,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capitalized costs in developing its technology, which consisted of the following as of December 31, 2017 and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606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6060" w:type="dxa"/>
            <w:vAlign w:val="bottom"/>
          </w:tcPr>
          <w:p>
            <w:pPr>
              <w:spacing w:after="0" w:line="201" w:lineRule="exact"/>
              <w:rPr>
                <w:sz w:val="20"/>
                <w:szCs w:val="20"/>
                <w:color w:val="auto"/>
              </w:rPr>
            </w:pPr>
            <w:r>
              <w:rPr>
                <w:rFonts w:ascii="Arial" w:cs="Arial" w:eastAsia="Arial" w:hAnsi="Arial"/>
                <w:sz w:val="18"/>
                <w:szCs w:val="18"/>
                <w:color w:val="auto"/>
              </w:rPr>
              <w:t>OptimizeRx consumer web-based technology</w:t>
            </w:r>
          </w:p>
        </w:tc>
        <w:tc>
          <w:tcPr>
            <w:tcW w:w="276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154,132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jc w:val="right"/>
              <w:ind w:right="90"/>
              <w:spacing w:after="0"/>
              <w:rPr>
                <w:sz w:val="20"/>
                <w:szCs w:val="20"/>
                <w:color w:val="auto"/>
              </w:rPr>
            </w:pPr>
            <w:r>
              <w:rPr>
                <w:rFonts w:ascii="Arial" w:cs="Arial" w:eastAsia="Arial" w:hAnsi="Arial"/>
                <w:sz w:val="10"/>
                <w:szCs w:val="10"/>
                <w:color w:val="auto"/>
                <w:w w:val="71"/>
              </w:rPr>
              <w:t>$</w:t>
            </w:r>
          </w:p>
        </w:tc>
        <w:tc>
          <w:tcPr>
            <w:tcW w:w="920" w:type="dxa"/>
            <w:vAlign w:val="bottom"/>
          </w:tcPr>
          <w:p>
            <w:pPr>
              <w:jc w:val="right"/>
              <w:spacing w:after="0" w:line="201" w:lineRule="exact"/>
              <w:rPr>
                <w:sz w:val="20"/>
                <w:szCs w:val="20"/>
                <w:color w:val="auto"/>
              </w:rPr>
            </w:pPr>
            <w:r>
              <w:rPr>
                <w:rFonts w:ascii="Arial" w:cs="Arial" w:eastAsia="Arial" w:hAnsi="Arial"/>
                <w:sz w:val="18"/>
                <w:szCs w:val="18"/>
                <w:color w:val="auto"/>
              </w:rPr>
              <w:t>154,133</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1"/>
        </w:trPr>
        <w:tc>
          <w:tcPr>
            <w:tcW w:w="6060" w:type="dxa"/>
            <w:vAlign w:val="bottom"/>
          </w:tcPr>
          <w:p>
            <w:pPr>
              <w:spacing w:after="0"/>
              <w:rPr>
                <w:sz w:val="20"/>
                <w:szCs w:val="20"/>
                <w:color w:val="auto"/>
              </w:rPr>
            </w:pPr>
            <w:r>
              <w:rPr>
                <w:rFonts w:ascii="Arial" w:cs="Arial" w:eastAsia="Arial" w:hAnsi="Arial"/>
                <w:sz w:val="18"/>
                <w:szCs w:val="18"/>
                <w:color w:val="auto"/>
              </w:rPr>
              <w:t>OptimizeRx EHR integrated technology</w:t>
            </w:r>
          </w:p>
        </w:tc>
        <w:tc>
          <w:tcPr>
            <w:tcW w:w="2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1,304,230</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1,304,230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6060" w:type="dxa"/>
            <w:vAlign w:val="bottom"/>
          </w:tcPr>
          <w:p>
            <w:pPr>
              <w:ind w:left="180"/>
              <w:spacing w:after="0" w:line="201" w:lineRule="exact"/>
              <w:rPr>
                <w:sz w:val="20"/>
                <w:szCs w:val="20"/>
                <w:color w:val="auto"/>
              </w:rPr>
            </w:pPr>
            <w:r>
              <w:rPr>
                <w:rFonts w:ascii="Arial" w:cs="Arial" w:eastAsia="Arial" w:hAnsi="Arial"/>
                <w:sz w:val="18"/>
                <w:szCs w:val="18"/>
                <w:color w:val="auto"/>
              </w:rPr>
              <w:t>Subtotal</w:t>
            </w:r>
          </w:p>
        </w:tc>
        <w:tc>
          <w:tcPr>
            <w:tcW w:w="276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1,458,362</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1,458,363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606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7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(1,314,632)</w:t>
            </w: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(1,106,559)</w:t>
            </w:r>
          </w:p>
        </w:tc>
        <w:tc>
          <w:tcPr>
            <w:tcW w:w="0" w:type="dxa"/>
            <w:vAlign w:val="bottom"/>
          </w:tcPr>
          <w:p>
            <w:pPr>
              <w:spacing w:after="0"/>
              <w:rPr>
                <w:sz w:val="1"/>
                <w:szCs w:val="1"/>
                <w:color w:val="auto"/>
              </w:rPr>
            </w:pPr>
          </w:p>
        </w:tc>
      </w:tr>
      <w:tr>
        <w:trPr>
          <w:trHeight w:val="27"/>
        </w:trPr>
        <w:tc>
          <w:tcPr>
            <w:tcW w:w="6060" w:type="dxa"/>
            <w:vAlign w:val="bottom"/>
            <w:vMerge w:val="restart"/>
          </w:tcPr>
          <w:p>
            <w:pPr>
              <w:ind w:left="180"/>
              <w:spacing w:after="0"/>
              <w:rPr>
                <w:sz w:val="20"/>
                <w:szCs w:val="20"/>
                <w:color w:val="auto"/>
              </w:rPr>
            </w:pPr>
            <w:r>
              <w:rPr>
                <w:rFonts w:ascii="Arial" w:cs="Arial" w:eastAsia="Arial" w:hAnsi="Arial"/>
                <w:sz w:val="18"/>
                <w:szCs w:val="18"/>
                <w:color w:val="auto"/>
              </w:rPr>
              <w:t>Web-based technology, net</w:t>
            </w:r>
          </w:p>
        </w:tc>
        <w:tc>
          <w:tcPr>
            <w:tcW w:w="2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vMerge w:val="continue"/>
          </w:tcPr>
          <w:p>
            <w:pPr>
              <w:spacing w:after="0"/>
              <w:rPr>
                <w:sz w:val="21"/>
                <w:szCs w:val="21"/>
                <w:color w:val="auto"/>
              </w:rPr>
            </w:pPr>
          </w:p>
        </w:tc>
        <w:tc>
          <w:tcPr>
            <w:tcW w:w="298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143,730</w:t>
            </w:r>
          </w:p>
        </w:tc>
        <w:tc>
          <w:tcPr>
            <w:tcW w:w="220" w:type="dxa"/>
            <w:vAlign w:val="bottom"/>
            <w:gridSpan w:val="2"/>
          </w:tcPr>
          <w:p>
            <w:pPr>
              <w:jc w:val="right"/>
              <w:ind w:right="90"/>
              <w:spacing w:after="0"/>
              <w:rPr>
                <w:sz w:val="20"/>
                <w:szCs w:val="20"/>
                <w:color w:val="auto"/>
              </w:rPr>
            </w:pPr>
            <w:r>
              <w:rPr>
                <w:rFonts w:ascii="Arial" w:cs="Arial" w:eastAsia="Arial" w:hAnsi="Arial"/>
                <w:sz w:val="15"/>
                <w:szCs w:val="15"/>
                <w:color w:val="auto"/>
                <w:w w:val="71"/>
              </w:rPr>
              <w:t>$</w:t>
            </w: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351,804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60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is recorded using the straight-line method over periods of up to five years. The consumer web-based technology has no carrying value at either December 31, 2016 or 2017. Amortization expense for the technology costs was $208,074 and $152,502 for the years ended December 31, 2017 and 2016, respectively. Amortization expense related to these assets is expected to be $91,039 in 2018 and $52,691 in 2019 to completely amortize the December 31, 2017 carrying value.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On April 26, 2010, the Company acquired the technical contributions and assignment of all exclusive rights to and for a key patent from the former CEO of the Company in exchange for 300,000 shares of common stock, valued at $570,000 and 200,000 stock options, valued at $360,000.</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purchasing and defending its patent, which consisted of the following as of December 31, 2017 and 2016:</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8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5880" w:type="dxa"/>
            <w:vAlign w:val="bottom"/>
          </w:tcPr>
          <w:p>
            <w:pPr>
              <w:spacing w:after="0" w:line="201" w:lineRule="exact"/>
              <w:rPr>
                <w:sz w:val="20"/>
                <w:szCs w:val="20"/>
                <w:color w:val="auto"/>
              </w:rPr>
            </w:pPr>
            <w:r>
              <w:rPr>
                <w:rFonts w:ascii="Arial" w:cs="Arial" w:eastAsia="Arial" w:hAnsi="Arial"/>
                <w:sz w:val="18"/>
                <w:szCs w:val="18"/>
                <w:color w:val="auto"/>
              </w:rPr>
              <w:t>Patent rights and intangible assets</w:t>
            </w:r>
          </w:p>
        </w:tc>
        <w:tc>
          <w:tcPr>
            <w:tcW w:w="294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930,000</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jc w:val="right"/>
              <w:ind w:right="110"/>
              <w:spacing w:after="0"/>
              <w:rPr>
                <w:sz w:val="20"/>
                <w:szCs w:val="20"/>
                <w:color w:val="auto"/>
              </w:rPr>
            </w:pPr>
            <w:r>
              <w:rPr>
                <w:rFonts w:ascii="Arial" w:cs="Arial" w:eastAsia="Arial" w:hAnsi="Arial"/>
                <w:sz w:val="10"/>
                <w:szCs w:val="10"/>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930,000</w:t>
            </w: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Patent defense costs</w:t>
            </w:r>
          </w:p>
        </w:tc>
        <w:tc>
          <w:tcPr>
            <w:tcW w:w="2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172,457</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172,457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1"/>
        </w:trPr>
        <w:tc>
          <w:tcPr>
            <w:tcW w:w="5880" w:type="dxa"/>
            <w:vAlign w:val="bottom"/>
          </w:tcPr>
          <w:p>
            <w:pPr>
              <w:spacing w:after="0"/>
              <w:rPr>
                <w:sz w:val="20"/>
                <w:szCs w:val="20"/>
                <w:color w:val="auto"/>
              </w:rPr>
            </w:pPr>
            <w:r>
              <w:rPr>
                <w:rFonts w:ascii="Arial" w:cs="Arial" w:eastAsia="Arial" w:hAnsi="Arial"/>
                <w:sz w:val="18"/>
                <w:szCs w:val="18"/>
                <w:color w:val="auto"/>
              </w:rPr>
              <w:t>New patents and trademarks</w:t>
            </w:r>
          </w:p>
        </w:tc>
        <w:tc>
          <w:tcPr>
            <w:tcW w:w="2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65,738</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5880" w:type="dxa"/>
            <w:vAlign w:val="bottom"/>
          </w:tcPr>
          <w:p>
            <w:pPr>
              <w:ind w:left="180"/>
              <w:spacing w:after="0" w:line="201" w:lineRule="exact"/>
              <w:rPr>
                <w:sz w:val="20"/>
                <w:szCs w:val="20"/>
                <w:color w:val="auto"/>
              </w:rPr>
            </w:pPr>
            <w:r>
              <w:rPr>
                <w:rFonts w:ascii="Arial" w:cs="Arial" w:eastAsia="Arial" w:hAnsi="Arial"/>
                <w:sz w:val="18"/>
                <w:szCs w:val="18"/>
                <w:color w:val="auto"/>
              </w:rPr>
              <w:t>Subtotal</w:t>
            </w:r>
          </w:p>
        </w:tc>
        <w:tc>
          <w:tcPr>
            <w:tcW w:w="294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1,102,457</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1,168,165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5880" w:type="dxa"/>
            <w:vAlign w:val="bottom"/>
          </w:tcPr>
          <w:p>
            <w:pPr>
              <w:spacing w:after="0"/>
              <w:rPr>
                <w:sz w:val="20"/>
                <w:szCs w:val="20"/>
                <w:color w:val="auto"/>
              </w:rPr>
            </w:pPr>
            <w:r>
              <w:rPr>
                <w:rFonts w:ascii="Arial" w:cs="Arial" w:eastAsia="Arial" w:hAnsi="Arial"/>
                <w:sz w:val="18"/>
                <w:szCs w:val="18"/>
                <w:color w:val="auto"/>
              </w:rPr>
              <w:t>Accumulated amortization</w:t>
            </w:r>
          </w:p>
        </w:tc>
        <w:tc>
          <w:tcPr>
            <w:tcW w:w="2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(463,691)</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(395,801)</w:t>
            </w:r>
          </w:p>
        </w:tc>
        <w:tc>
          <w:tcPr>
            <w:tcW w:w="0" w:type="dxa"/>
            <w:vAlign w:val="bottom"/>
          </w:tcPr>
          <w:p>
            <w:pPr>
              <w:spacing w:after="0"/>
              <w:rPr>
                <w:sz w:val="1"/>
                <w:szCs w:val="1"/>
                <w:color w:val="auto"/>
              </w:rPr>
            </w:pPr>
          </w:p>
        </w:tc>
      </w:tr>
      <w:tr>
        <w:trPr>
          <w:trHeight w:val="27"/>
        </w:trPr>
        <w:tc>
          <w:tcPr>
            <w:tcW w:w="5880" w:type="dxa"/>
            <w:vAlign w:val="bottom"/>
            <w:vMerge w:val="restart"/>
          </w:tcPr>
          <w:p>
            <w:pPr>
              <w:ind w:left="180"/>
              <w:spacing w:after="0"/>
              <w:rPr>
                <w:sz w:val="20"/>
                <w:szCs w:val="20"/>
                <w:color w:val="auto"/>
              </w:rPr>
            </w:pPr>
            <w:r>
              <w:rPr>
                <w:rFonts w:ascii="Arial" w:cs="Arial" w:eastAsia="Arial" w:hAnsi="Arial"/>
                <w:sz w:val="18"/>
                <w:szCs w:val="18"/>
                <w:color w:val="auto"/>
              </w:rPr>
              <w:t>Patent rights and intangible assets, net</w:t>
            </w:r>
          </w:p>
        </w:tc>
        <w:tc>
          <w:tcPr>
            <w:tcW w:w="294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gridSpan w:val="2"/>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880" w:type="dxa"/>
            <w:vAlign w:val="bottom"/>
            <w:vMerge w:val="continue"/>
          </w:tcPr>
          <w:p>
            <w:pPr>
              <w:spacing w:after="0"/>
              <w:rPr>
                <w:sz w:val="21"/>
                <w:szCs w:val="21"/>
                <w:color w:val="auto"/>
              </w:rPr>
            </w:pPr>
          </w:p>
        </w:tc>
        <w:tc>
          <w:tcPr>
            <w:tcW w:w="31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638,766</w:t>
            </w:r>
          </w:p>
        </w:tc>
        <w:tc>
          <w:tcPr>
            <w:tcW w:w="240" w:type="dxa"/>
            <w:vAlign w:val="bottom"/>
            <w:gridSpan w:val="2"/>
          </w:tcPr>
          <w:p>
            <w:pPr>
              <w:jc w:val="right"/>
              <w:ind w:right="110"/>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772,394</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588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$67,890 and $67,758 for the years ended December 31, 2017 and 2016, respectively. We expect our amortization expense related to these patents to be $67,890 for each of the years from 2018 through 2022.</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7 – DEFERRED 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several signed contracts with customers for the distribution of financial messaging, or other services, which include payment in advance. The payments are not recorded as revenue until the revenue is earned under its revenue recognition policy discussed in Note 2. Deferred revenue was $507,160 and $386,581 as of December 31, 2017 and 2016, respectively.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8 – RELATED PARTY TRANSACTIONS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year ended December 31, 2010, the Company acquired the technical contributions and assignment of all exclusive rights to and for a key patent in process at the time from a former CEO in exchange for 300,000 shares of common stock to be granted at the discretion of the seller and 200,000 stock options, valued at $360,000, which expired in April 2015. The shares were valued on the grant date at $570,000 and were recorded as a payable to the related party. In 2016, the obligation to issue those shares was redeemed for a payment of $363,000 in cash.</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2015, WPP, plc made a strategic investment in the Company and is a shareholder that owns approximately 20% of the shares of the Company.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NOTE 8 – RELATED PARTY TRANSACTIONS (continued)</w:t>
            </w: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7080" w:type="dxa"/>
            <w:vAlign w:val="bottom"/>
          </w:tcPr>
          <w:p>
            <w:pPr>
              <w:spacing w:after="0"/>
              <w:rPr>
                <w:sz w:val="20"/>
                <w:szCs w:val="20"/>
                <w:color w:val="auto"/>
              </w:rPr>
            </w:pPr>
            <w:r>
              <w:rPr>
                <w:rFonts w:ascii="Arial" w:cs="Arial" w:eastAsia="Arial" w:hAnsi="Arial"/>
                <w:sz w:val="18"/>
                <w:szCs w:val="18"/>
                <w:color w:val="auto"/>
              </w:rPr>
              <w:t>The following table sets forth the activity between the Company and WPP</w:t>
            </w:r>
          </w:p>
        </w:tc>
        <w:tc>
          <w:tcPr>
            <w:tcW w:w="1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53"/>
        </w:trPr>
        <w:tc>
          <w:tcPr>
            <w:tcW w:w="7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20" w:type="dxa"/>
            <w:vAlign w:val="bottom"/>
          </w:tcPr>
          <w:p>
            <w:pPr>
              <w:spacing w:after="0"/>
              <w:rPr>
                <w:sz w:val="24"/>
                <w:szCs w:val="24"/>
                <w:color w:val="auto"/>
              </w:rPr>
            </w:pPr>
          </w:p>
        </w:tc>
      </w:tr>
      <w:tr>
        <w:trPr>
          <w:trHeight w:val="202"/>
        </w:trPr>
        <w:tc>
          <w:tcPr>
            <w:tcW w:w="7080" w:type="dxa"/>
            <w:vAlign w:val="bottom"/>
          </w:tcPr>
          <w:p>
            <w:pPr>
              <w:spacing w:after="0" w:line="201" w:lineRule="exact"/>
              <w:rPr>
                <w:sz w:val="20"/>
                <w:szCs w:val="20"/>
                <w:color w:val="auto"/>
              </w:rPr>
            </w:pPr>
            <w:r>
              <w:rPr>
                <w:rFonts w:ascii="Arial" w:cs="Arial" w:eastAsia="Arial" w:hAnsi="Arial"/>
                <w:sz w:val="18"/>
                <w:szCs w:val="18"/>
                <w:color w:val="auto"/>
              </w:rPr>
              <w:t>Total billings to WPP Agencies</w:t>
            </w:r>
          </w:p>
        </w:tc>
        <w:tc>
          <w:tcPr>
            <w:tcW w:w="174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3,554,168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line="201" w:lineRule="exact"/>
              <w:rPr>
                <w:sz w:val="20"/>
                <w:szCs w:val="20"/>
                <w:color w:val="auto"/>
              </w:rPr>
            </w:pPr>
            <w:r>
              <w:rPr>
                <w:rFonts w:ascii="Arial" w:cs="Arial" w:eastAsia="Arial" w:hAnsi="Arial"/>
                <w:sz w:val="18"/>
                <w:szCs w:val="18"/>
                <w:color w:val="auto"/>
              </w:rPr>
              <w:t>2,613,942</w:t>
            </w:r>
          </w:p>
        </w:tc>
        <w:tc>
          <w:tcPr>
            <w:tcW w:w="20" w:type="dxa"/>
            <w:vAlign w:val="bottom"/>
          </w:tcPr>
          <w:p>
            <w:pPr>
              <w:spacing w:after="0"/>
              <w:rPr>
                <w:sz w:val="17"/>
                <w:szCs w:val="17"/>
                <w:color w:val="auto"/>
              </w:rPr>
            </w:pP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Revenue recognized from WPP Agencies</w:t>
            </w:r>
          </w:p>
        </w:tc>
        <w:tc>
          <w:tcPr>
            <w:tcW w:w="19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3,696,214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1,542,411</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Accounts receivable from WPP Agencies</w:t>
            </w:r>
          </w:p>
        </w:tc>
        <w:tc>
          <w:tcPr>
            <w:tcW w:w="19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1,173,614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1,108,585</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Rebates given to WPP Agencies</w:t>
            </w:r>
          </w:p>
        </w:tc>
        <w:tc>
          <w:tcPr>
            <w:tcW w:w="19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33,249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24,519</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Marketing services purchased from WPP Agencies</w:t>
            </w:r>
          </w:p>
        </w:tc>
        <w:tc>
          <w:tcPr>
            <w:tcW w:w="19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54,762</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190,686</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Accounts payable to WPP Agencies</w:t>
            </w:r>
          </w:p>
        </w:tc>
        <w:tc>
          <w:tcPr>
            <w:tcW w:w="19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12,600</w:t>
            </w:r>
          </w:p>
        </w:tc>
      </w:tr>
      <w:tr>
        <w:trPr>
          <w:trHeight w:val="216"/>
        </w:trPr>
        <w:tc>
          <w:tcPr>
            <w:tcW w:w="7080" w:type="dxa"/>
            <w:vAlign w:val="bottom"/>
          </w:tcPr>
          <w:p>
            <w:pPr>
              <w:spacing w:after="0"/>
              <w:rPr>
                <w:sz w:val="20"/>
                <w:szCs w:val="20"/>
                <w:color w:val="auto"/>
              </w:rPr>
            </w:pPr>
            <w:r>
              <w:rPr>
                <w:rFonts w:ascii="Arial" w:cs="Arial" w:eastAsia="Arial" w:hAnsi="Arial"/>
                <w:sz w:val="18"/>
                <w:szCs w:val="18"/>
                <w:color w:val="auto"/>
              </w:rPr>
              <w:t>Revenue share expense recorded to WPP Agencies</w:t>
            </w:r>
          </w:p>
        </w:tc>
        <w:tc>
          <w:tcPr>
            <w:tcW w:w="19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401,596</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177,372</w:t>
            </w:r>
          </w:p>
        </w:tc>
      </w:tr>
      <w:tr>
        <w:trPr>
          <w:trHeight w:val="230"/>
        </w:trPr>
        <w:tc>
          <w:tcPr>
            <w:tcW w:w="7080" w:type="dxa"/>
            <w:vAlign w:val="bottom"/>
          </w:tcPr>
          <w:p>
            <w:pPr>
              <w:spacing w:after="0"/>
              <w:rPr>
                <w:sz w:val="20"/>
                <w:szCs w:val="20"/>
                <w:color w:val="auto"/>
              </w:rPr>
            </w:pPr>
            <w:r>
              <w:rPr>
                <w:rFonts w:ascii="Arial" w:cs="Arial" w:eastAsia="Arial" w:hAnsi="Arial"/>
                <w:sz w:val="18"/>
                <w:szCs w:val="18"/>
                <w:color w:val="auto"/>
              </w:rPr>
              <w:t>Revenue share expenses owed to WPP Agencies</w:t>
            </w:r>
          </w:p>
        </w:tc>
        <w:tc>
          <w:tcPr>
            <w:tcW w:w="198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447,670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rPr>
              <w:t>127,458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9 – PREFERRED STOCK</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10,000,000 shares of preferred stock, $.001 par value per share, authorized as of December 31, 2017. Of those shares, 1,000 were designated as Series A and Series B. There were no shares outstanding at any time during the periods covered by these financial statements. The Series A and B designations were transaction specific in 2008 and 2010 and were redeemed in 2014. When outstanding, the shares had a liquidation preference and bore dividends at a rate of 10%, payable in cash or stock, but are no longer applicable. The Company intends to remove the designations in 2018.</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500,000,000 shares of common stock, $.001 par value per share, authorized as of December 31, 2017. There were 29,318,018 and 29,718,867 shares of common stock issued and outstanding at December 31, 2017 and 2016,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In 2017, the Company purchased and cancelled 500,000 shares held by the previous CEO at a price of $0.78 per share for a total payment of $390,000.</w:t>
      </w:r>
    </w:p>
    <w:p>
      <w:pPr>
        <w:spacing w:after="0" w:line="2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2017 the Company issued 24,214 shares in connection with the exercise of employee stock options by former employees. The options were exercised on a net settled basis and no cash proceeds were received.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a Director Compensation plan covering its independent non-employee Directors. A total of 75,000 and 50,000 shares were granted and issued in the years ended December 31, 2017 and 2016, respectively in connection with this compensation plan. These shares were valued at $87,375 and $51,375, respectively.</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 2016, we issued 384,118 shares of common stock to an unrelated party in a private transaction, the proceeds of which were used to redeem shares of common stock payable to an executive officer.</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In 2016, the Company issued 100,000 shares of common stock, valued at $110,000, to Shadron Stastney in connection with the settlement of litigation.</w:t>
      </w:r>
    </w:p>
    <w:p>
      <w:pPr>
        <w:spacing w:after="0" w:line="23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issued 103,754 shares of common stock in 2016 in connection with the cashless exercise of stock options granted in prior years that were about to expire in 2016.</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 (continued)</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2015, the Company agreed to grant 197,605 fully vested shares of its common stock to two executive officers as bonuses. These shares were not issued at the time, but were recorded as stock payable. The obligation to issue these shares was redeemed for cash in 2016 for a total payment of $232,602.</w:t>
      </w:r>
    </w:p>
    <w:p>
      <w:pPr>
        <w:spacing w:after="0" w:line="1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2015, the Company entered into a new capital markets advisory agreement covering a one-year period, which called for 90,000 shares of common stock to be issued as compensation. The first 45,000 shares were issued in September 2015 and valued at $41,400. These shares were amortized over a six-month period. The agreement was cancelled in 2016 and the remaining 45,000 shares were not issued.</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2014, the Company agreed to grant 337,500 shares of common stock to two executive officers at the time as bonuses based on their efforts to recapitalize the Company. Stock-based compensation related to these bonuses of $570,375 was recorded during the year ended December 31, 2014. These shares were not issued at the time and were recorded as stock payable. The obligation to issue these shares was redeemed in 2016 for cash payments of $397,038. Also in 2014, as part of a capital raise, the Company agreed to grant 200,000 shares of common stock to three executive officers at the time. The shares were part of an equity raise and the issuance was recorded as part of equity issuance costs, so no expense was recorded. In 2016, a total of 150,000 of those shares were redeemed for a cash payment of $177,275 and the remaining 50,000 shares were issued to a former executive officer.</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sponsors a stock-based incentive compensation plan known as the 2013 Equity Compensation Plan (the “Plan”), which was established by the Board of Directors of the Company in June 2013. A total of 1,500,000 shares were initially reserved for issuance under the Plan. The Plan was amended in 2016 to increase the authorized shares to 4,000,000 shares and again in 2018 to increase the authorized shares to 5,500,000. A total of 4,106,250 options were outstanding at December 31, 2016. In addition, a total of 735,105 restricted shares were granted in 2014 and 2015, but not issued at the time. A total 685,015 of these shares were redeemed for cash in 2016, and 50,000 of these shares were issued in 2016. As of December 31, 2017, the Company has no remaining restricted shares owed. The Company had no remaining shares available to grant under the Plan at December 31, 2017.</w:t>
      </w:r>
    </w:p>
    <w:p>
      <w:pPr>
        <w:spacing w:after="0" w:line="16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Plan allows the Company to grant incentive stock options, non-qualified stock options, stock appreciation right, or restricted stock. The incentive stock options are exercisable for up to ten years, at an option price per share not less than the fair market value on the date the option is granted. The incentive stock options are limited to persons who are regular full-time employees of the Company at the date of the grant of the option. Non-qualified options may be granted to any person, including, but not limited to, employees, independent agents, consultants and attorneys, who the Company’s Board or Compensation Committee believes have contributed, or will contribute, to the success of the Company. Non-qualified options may be issued at option prices of less than fair market value on the date of grant and may be exercisable for up to ten years from date of grant. The option vesting schedule for options granted is determined by the Compensation Committee of the Board of Directors at the time of the grant. The Plan provides for accelerated vesting of unvested options if there is a change in control, as defined in the Plan.</w:t>
      </w:r>
    </w:p>
    <w:p>
      <w:pPr>
        <w:spacing w:after="0" w:line="17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Prior to establishment of the Plan, the Board granted options under terms similar to those described in the preceding paragraphs. A total of 25,000 options were outstanding at December 31, 2016 that were granted prior to the establishment of the 2013 Plan, but those options expired in 2017.</w:t>
      </w:r>
    </w:p>
    <w:p>
      <w:pPr>
        <w:spacing w:after="0" w:line="14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compensation cost that has been charged against income related to options for the years ended December 31, 2017 and 2016, was $815,014 and $384,126, respectively. No income tax benefit was recognized in the income statement and no compensation was capitalized in any of the years presented.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NOTE 11 – STOCK OPTIONS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 activity during the years ended December 31, 2017 and 2016:</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9"/>
              </w:rPr>
              <w:t>Weighted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remaining</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Aggregate</w:t>
            </w:r>
          </w:p>
        </w:tc>
      </w:tr>
      <w:tr>
        <w:trPr>
          <w:trHeight w:val="216"/>
        </w:trPr>
        <w:tc>
          <w:tcPr>
            <w:tcW w:w="6080" w:type="dxa"/>
            <w:vAlign w:val="bottom"/>
          </w:tcPr>
          <w:p>
            <w:pPr>
              <w:spacing w:after="0"/>
              <w:rPr>
                <w:sz w:val="18"/>
                <w:szCs w:val="18"/>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Number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8"/>
                <w:szCs w:val="18"/>
                <w:color w:val="auto"/>
                <w:w w:val="86"/>
              </w:rPr>
              <w:t>average</w:t>
            </w:r>
          </w:p>
        </w:tc>
        <w:tc>
          <w:tcPr>
            <w:tcW w:w="1360" w:type="dxa"/>
            <w:vAlign w:val="bottom"/>
            <w:gridSpan w:val="2"/>
          </w:tcPr>
          <w:p>
            <w:pPr>
              <w:jc w:val="center"/>
              <w:ind w:right="200"/>
              <w:spacing w:after="0"/>
              <w:rPr>
                <w:sz w:val="20"/>
                <w:szCs w:val="20"/>
                <w:color w:val="auto"/>
              </w:rPr>
            </w:pPr>
            <w:r>
              <w:rPr>
                <w:rFonts w:ascii="Arial" w:cs="Arial" w:eastAsia="Arial" w:hAnsi="Arial"/>
                <w:sz w:val="18"/>
                <w:szCs w:val="18"/>
                <w:color w:val="auto"/>
                <w:w w:val="93"/>
              </w:rPr>
              <w:t>contractual life</w:t>
            </w:r>
          </w:p>
        </w:tc>
        <w:tc>
          <w:tcPr>
            <w:tcW w:w="20" w:type="dxa"/>
            <w:vAlign w:val="bottom"/>
          </w:tcPr>
          <w:p>
            <w:pPr>
              <w:spacing w:after="0"/>
              <w:rPr>
                <w:sz w:val="18"/>
                <w:szCs w:val="18"/>
                <w:color w:val="auto"/>
              </w:rPr>
            </w:pPr>
          </w:p>
        </w:tc>
        <w:tc>
          <w:tcPr>
            <w:tcW w:w="1140" w:type="dxa"/>
            <w:vAlign w:val="bottom"/>
            <w:gridSpan w:val="3"/>
          </w:tcPr>
          <w:p>
            <w:pPr>
              <w:jc w:val="center"/>
              <w:ind w:right="40"/>
              <w:spacing w:after="0"/>
              <w:rPr>
                <w:sz w:val="20"/>
                <w:szCs w:val="20"/>
                <w:color w:val="auto"/>
              </w:rPr>
            </w:pPr>
            <w:r>
              <w:rPr>
                <w:rFonts w:ascii="Arial" w:cs="Arial" w:eastAsia="Arial" w:hAnsi="Arial"/>
                <w:sz w:val="18"/>
                <w:szCs w:val="18"/>
                <w:color w:val="auto"/>
                <w:w w:val="93"/>
              </w:rPr>
              <w:t>intrinsic value</w:t>
            </w:r>
          </w:p>
        </w:tc>
      </w:tr>
      <w:tr>
        <w:trPr>
          <w:trHeight w:val="237"/>
        </w:trPr>
        <w:tc>
          <w:tcPr>
            <w:tcW w:w="6080" w:type="dxa"/>
            <w:vAlign w:val="bottom"/>
          </w:tcPr>
          <w:p>
            <w:pPr>
              <w:spacing w:after="0"/>
              <w:rPr>
                <w:sz w:val="20"/>
                <w:szCs w:val="20"/>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Options</w:t>
            </w:r>
          </w:p>
        </w:tc>
        <w:tc>
          <w:tcPr>
            <w:tcW w:w="100" w:type="dxa"/>
            <w:vAlign w:val="bottom"/>
          </w:tcPr>
          <w:p>
            <w:pPr>
              <w:spacing w:after="0"/>
              <w:rPr>
                <w:sz w:val="20"/>
                <w:szCs w:val="20"/>
                <w:color w:val="auto"/>
              </w:rPr>
            </w:pPr>
          </w:p>
        </w:tc>
        <w:tc>
          <w:tcPr>
            <w:tcW w:w="1340" w:type="dxa"/>
            <w:vAlign w:val="bottom"/>
            <w:gridSpan w:val="3"/>
          </w:tcPr>
          <w:p>
            <w:pPr>
              <w:jc w:val="center"/>
              <w:ind w:right="220"/>
              <w:spacing w:after="0"/>
              <w:rPr>
                <w:sz w:val="20"/>
                <w:szCs w:val="20"/>
                <w:color w:val="auto"/>
              </w:rPr>
            </w:pPr>
            <w:r>
              <w:rPr>
                <w:rFonts w:ascii="Arial" w:cs="Arial" w:eastAsia="Arial" w:hAnsi="Arial"/>
                <w:sz w:val="18"/>
                <w:szCs w:val="18"/>
                <w:color w:val="auto"/>
                <w:w w:val="90"/>
              </w:rPr>
              <w:t>exercise price</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(years)</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center"/>
              <w:ind w:right="7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20"/>
                <w:szCs w:val="20"/>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Outstanding, January 1, 2016</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1,615,000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1.09</w:t>
            </w:r>
          </w:p>
        </w:tc>
        <w:tc>
          <w:tcPr>
            <w:tcW w:w="200" w:type="dxa"/>
            <w:vAlign w:val="bottom"/>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 - 2016</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2,040,000</w:t>
            </w:r>
          </w:p>
        </w:tc>
        <w:tc>
          <w:tcPr>
            <w:tcW w:w="2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1.09</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Exercised - 2016</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(485,000)</w:t>
            </w:r>
          </w:p>
        </w:tc>
        <w:tc>
          <w:tcPr>
            <w:tcW w:w="2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0.89</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1"/>
        </w:trPr>
        <w:tc>
          <w:tcPr>
            <w:tcW w:w="6080" w:type="dxa"/>
            <w:vAlign w:val="bottom"/>
          </w:tcPr>
          <w:p>
            <w:pPr>
              <w:spacing w:after="0"/>
              <w:rPr>
                <w:sz w:val="20"/>
                <w:szCs w:val="20"/>
                <w:color w:val="auto"/>
              </w:rPr>
            </w:pPr>
            <w:r>
              <w:rPr>
                <w:rFonts w:ascii="Arial" w:cs="Arial" w:eastAsia="Arial" w:hAnsi="Arial"/>
                <w:sz w:val="18"/>
                <w:szCs w:val="18"/>
                <w:color w:val="auto"/>
              </w:rPr>
              <w:t>Expired – 2016</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(50,000)</w:t>
            </w:r>
          </w:p>
        </w:tc>
        <w:tc>
          <w:tcPr>
            <w:tcW w:w="2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1.08</w:t>
            </w: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02"/>
        </w:trPr>
        <w:tc>
          <w:tcPr>
            <w:tcW w:w="6080" w:type="dxa"/>
            <w:vAlign w:val="bottom"/>
          </w:tcPr>
          <w:p>
            <w:pPr>
              <w:spacing w:after="0" w:line="201" w:lineRule="exact"/>
              <w:rPr>
                <w:sz w:val="20"/>
                <w:szCs w:val="20"/>
                <w:color w:val="auto"/>
              </w:rPr>
            </w:pPr>
            <w:r>
              <w:rPr>
                <w:rFonts w:ascii="Arial" w:cs="Arial" w:eastAsia="Arial" w:hAnsi="Arial"/>
                <w:sz w:val="18"/>
                <w:szCs w:val="18"/>
                <w:color w:val="auto"/>
              </w:rPr>
              <w:t>Outstanding, December 31, 2016</w:t>
            </w:r>
          </w:p>
        </w:tc>
        <w:tc>
          <w:tcPr>
            <w:tcW w:w="116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3,120,000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1.12</w:t>
            </w:r>
          </w:p>
        </w:tc>
        <w:tc>
          <w:tcPr>
            <w:tcW w:w="200" w:type="dxa"/>
            <w:vAlign w:val="bottom"/>
          </w:tcPr>
          <w:p>
            <w:pPr>
              <w:spacing w:after="0"/>
              <w:rPr>
                <w:sz w:val="17"/>
                <w:szCs w:val="17"/>
                <w:color w:val="auto"/>
              </w:rPr>
            </w:pPr>
          </w:p>
        </w:tc>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3.6</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Granted – 2017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1,441,250</w:t>
            </w:r>
          </w:p>
        </w:tc>
        <w:tc>
          <w:tcPr>
            <w:tcW w:w="2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0.96</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Exercised – 2017</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(130,000)</w:t>
            </w:r>
          </w:p>
        </w:tc>
        <w:tc>
          <w:tcPr>
            <w:tcW w:w="2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1.27</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51"/>
        </w:trPr>
        <w:tc>
          <w:tcPr>
            <w:tcW w:w="6080" w:type="dxa"/>
            <w:vAlign w:val="bottom"/>
          </w:tcPr>
          <w:p>
            <w:pPr>
              <w:spacing w:after="0"/>
              <w:rPr>
                <w:sz w:val="20"/>
                <w:szCs w:val="20"/>
                <w:color w:val="auto"/>
              </w:rPr>
            </w:pPr>
            <w:r>
              <w:rPr>
                <w:rFonts w:ascii="Arial" w:cs="Arial" w:eastAsia="Arial" w:hAnsi="Arial"/>
                <w:sz w:val="18"/>
                <w:szCs w:val="18"/>
                <w:color w:val="auto"/>
              </w:rPr>
              <w:t>Expired – 2017</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(325,000)</w:t>
            </w:r>
          </w:p>
        </w:tc>
        <w:tc>
          <w:tcPr>
            <w:tcW w:w="2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1.34</w:t>
            </w:r>
          </w:p>
        </w:tc>
        <w:tc>
          <w:tcPr>
            <w:tcW w:w="11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6080" w:type="dxa"/>
            <w:vAlign w:val="bottom"/>
          </w:tcPr>
          <w:p>
            <w:pPr>
              <w:spacing w:after="0" w:line="203" w:lineRule="exact"/>
              <w:rPr>
                <w:sz w:val="20"/>
                <w:szCs w:val="20"/>
                <w:color w:val="auto"/>
              </w:rPr>
            </w:pPr>
            <w:r>
              <w:rPr>
                <w:rFonts w:ascii="Arial" w:cs="Arial" w:eastAsia="Arial" w:hAnsi="Arial"/>
                <w:sz w:val="18"/>
                <w:szCs w:val="18"/>
                <w:color w:val="auto"/>
              </w:rPr>
              <w:t>Outstanding, December 31, 2017</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4,106,250</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2,173,700</w:t>
            </w:r>
          </w:p>
        </w:tc>
        <w:tc>
          <w:tcPr>
            <w:tcW w:w="20" w:type="dxa"/>
            <w:vAlign w:val="bottom"/>
            <w:tcBorders>
              <w:bottom w:val="single" w:sz="8" w:color="auto"/>
            </w:tcBorders>
          </w:tcPr>
          <w:p>
            <w:pPr>
              <w:spacing w:after="0"/>
              <w:rPr>
                <w:sz w:val="19"/>
                <w:szCs w:val="19"/>
                <w:color w:val="auto"/>
              </w:rPr>
            </w:pPr>
          </w:p>
        </w:tc>
      </w:tr>
      <w:tr>
        <w:trPr>
          <w:trHeight w:val="250"/>
        </w:trPr>
        <w:tc>
          <w:tcPr>
            <w:tcW w:w="6080" w:type="dxa"/>
            <w:vAlign w:val="bottom"/>
          </w:tcPr>
          <w:p>
            <w:pPr>
              <w:spacing w:after="0" w:line="203" w:lineRule="exact"/>
              <w:rPr>
                <w:sz w:val="20"/>
                <w:szCs w:val="20"/>
                <w:color w:val="auto"/>
              </w:rPr>
            </w:pPr>
            <w:r>
              <w:rPr>
                <w:rFonts w:ascii="Arial" w:cs="Arial" w:eastAsia="Arial" w:hAnsi="Arial"/>
                <w:sz w:val="18"/>
                <w:szCs w:val="18"/>
                <w:color w:val="auto"/>
              </w:rPr>
              <w:t>Exercisable, December 31, 2017</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1,891,250</w:t>
            </w:r>
          </w:p>
        </w:tc>
        <w:tc>
          <w:tcPr>
            <w:tcW w:w="260" w:type="dxa"/>
            <w:vAlign w:val="bottom"/>
            <w:gridSpan w:val="2"/>
          </w:tcPr>
          <w:p>
            <w:pPr>
              <w:jc w:val="right"/>
              <w:ind w:right="1"/>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1.02</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w:t>
            </w:r>
          </w:p>
        </w:tc>
        <w:tc>
          <w:tcPr>
            <w:tcW w:w="14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
              <w:spacing w:after="0"/>
              <w:rPr>
                <w:sz w:val="20"/>
                <w:szCs w:val="20"/>
                <w:color w:val="auto"/>
              </w:rPr>
            </w:pPr>
            <w:r>
              <w:rPr>
                <w:rFonts w:ascii="Arial" w:cs="Arial" w:eastAsia="Arial" w:hAnsi="Arial"/>
                <w:sz w:val="18"/>
                <w:szCs w:val="18"/>
                <w:color w:val="auto"/>
              </w:rPr>
              <w:t>1,035,900</w:t>
            </w:r>
          </w:p>
        </w:tc>
      </w:tr>
      <w:tr>
        <w:trPr>
          <w:trHeight w:val="21"/>
        </w:trPr>
        <w:tc>
          <w:tcPr>
            <w:tcW w:w="60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Of the options outstanding at December 31, 2016, 1,220,000 were exercisable with a weighted average contractual life of 1.1 years and the remaining 1,900,000 were non-vested.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shows the expiration date and exercise price of the options outstanding at December 31, 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gridSpan w:val="2"/>
          </w:tcPr>
          <w:p>
            <w:pPr>
              <w:ind w:left="1200"/>
              <w:spacing w:after="0"/>
              <w:rPr>
                <w:sz w:val="20"/>
                <w:szCs w:val="20"/>
                <w:color w:val="auto"/>
              </w:rPr>
            </w:pPr>
            <w:r>
              <w:rPr>
                <w:rFonts w:ascii="Arial" w:cs="Arial" w:eastAsia="Arial" w:hAnsi="Arial"/>
                <w:sz w:val="18"/>
                <w:szCs w:val="18"/>
                <w:color w:val="auto"/>
              </w:rPr>
              <w:t>Number of Options</w:t>
            </w:r>
          </w:p>
        </w:tc>
        <w:tc>
          <w:tcPr>
            <w:tcW w:w="3880" w:type="dxa"/>
            <w:vAlign w:val="bottom"/>
            <w:gridSpan w:val="2"/>
          </w:tcPr>
          <w:p>
            <w:pPr>
              <w:ind w:left="1360"/>
              <w:spacing w:after="0"/>
              <w:rPr>
                <w:sz w:val="20"/>
                <w:szCs w:val="20"/>
                <w:color w:val="auto"/>
              </w:rPr>
            </w:pPr>
            <w:r>
              <w:rPr>
                <w:rFonts w:ascii="Arial" w:cs="Arial" w:eastAsia="Arial" w:hAnsi="Arial"/>
                <w:sz w:val="18"/>
                <w:szCs w:val="18"/>
                <w:color w:val="auto"/>
              </w:rPr>
              <w:t>Exercise Price</w:t>
            </w:r>
          </w:p>
        </w:tc>
        <w:tc>
          <w:tcPr>
            <w:tcW w:w="3640" w:type="dxa"/>
            <w:vAlign w:val="bottom"/>
          </w:tcPr>
          <w:p>
            <w:pPr>
              <w:jc w:val="right"/>
              <w:ind w:right="1170"/>
              <w:spacing w:after="0"/>
              <w:rPr>
                <w:sz w:val="20"/>
                <w:szCs w:val="20"/>
                <w:color w:val="auto"/>
              </w:rPr>
            </w:pPr>
            <w:r>
              <w:rPr>
                <w:rFonts w:ascii="Arial" w:cs="Arial" w:eastAsia="Arial" w:hAnsi="Arial"/>
                <w:sz w:val="18"/>
                <w:szCs w:val="18"/>
                <w:color w:val="auto"/>
              </w:rPr>
              <w:t>Expiration Date</w:t>
            </w:r>
          </w:p>
        </w:tc>
      </w:tr>
      <w:tr>
        <w:trPr>
          <w:trHeight w:val="202"/>
        </w:trPr>
        <w:tc>
          <w:tcPr>
            <w:tcW w:w="3780" w:type="dxa"/>
            <w:vAlign w:val="bottom"/>
            <w:tcBorders>
              <w:top w:val="single" w:sz="8" w:color="auto"/>
            </w:tcBorders>
          </w:tcPr>
          <w:p>
            <w:pPr>
              <w:jc w:val="center"/>
              <w:ind w:left="10"/>
              <w:spacing w:after="0" w:line="201" w:lineRule="exact"/>
              <w:rPr>
                <w:sz w:val="20"/>
                <w:szCs w:val="20"/>
                <w:color w:val="auto"/>
              </w:rPr>
            </w:pPr>
            <w:r>
              <w:rPr>
                <w:rFonts w:ascii="Arial" w:cs="Arial" w:eastAsia="Arial" w:hAnsi="Arial"/>
                <w:sz w:val="18"/>
                <w:szCs w:val="18"/>
                <w:color w:val="auto"/>
                <w:w w:val="92"/>
              </w:rPr>
              <w:t>600,000</w:t>
            </w:r>
          </w:p>
        </w:tc>
        <w:tc>
          <w:tcPr>
            <w:tcW w:w="120" w:type="dxa"/>
            <w:vAlign w:val="bottom"/>
          </w:tcPr>
          <w:p>
            <w:pPr>
              <w:spacing w:after="0"/>
              <w:rPr>
                <w:sz w:val="17"/>
                <w:szCs w:val="17"/>
                <w:color w:val="auto"/>
              </w:rPr>
            </w:pPr>
          </w:p>
        </w:tc>
        <w:tc>
          <w:tcPr>
            <w:tcW w:w="3760" w:type="dxa"/>
            <w:vAlign w:val="bottom"/>
            <w:tcBorders>
              <w:top w:val="single" w:sz="8" w:color="auto"/>
            </w:tcBorders>
          </w:tcPr>
          <w:p>
            <w:pPr>
              <w:jc w:val="right"/>
              <w:ind w:right="1530"/>
              <w:spacing w:after="0" w:line="201" w:lineRule="exact"/>
              <w:rPr>
                <w:sz w:val="20"/>
                <w:szCs w:val="20"/>
                <w:color w:val="auto"/>
              </w:rPr>
            </w:pPr>
            <w:r>
              <w:rPr>
                <w:rFonts w:ascii="Arial" w:cs="Arial" w:eastAsia="Arial" w:hAnsi="Arial"/>
                <w:sz w:val="18"/>
                <w:szCs w:val="18"/>
                <w:color w:val="auto"/>
              </w:rPr>
              <w:t>$0.82</w:t>
            </w:r>
          </w:p>
        </w:tc>
        <w:tc>
          <w:tcPr>
            <w:tcW w:w="120" w:type="dxa"/>
            <w:vAlign w:val="bottom"/>
          </w:tcPr>
          <w:p>
            <w:pPr>
              <w:spacing w:after="0"/>
              <w:rPr>
                <w:sz w:val="17"/>
                <w:szCs w:val="17"/>
                <w:color w:val="auto"/>
              </w:rPr>
            </w:pPr>
          </w:p>
        </w:tc>
        <w:tc>
          <w:tcPr>
            <w:tcW w:w="3640" w:type="dxa"/>
            <w:vAlign w:val="bottom"/>
            <w:tcBorders>
              <w:top w:val="single" w:sz="8" w:color="auto"/>
            </w:tcBorders>
          </w:tcPr>
          <w:p>
            <w:pPr>
              <w:jc w:val="right"/>
              <w:ind w:right="1370"/>
              <w:spacing w:after="0" w:line="201" w:lineRule="exact"/>
              <w:rPr>
                <w:sz w:val="20"/>
                <w:szCs w:val="20"/>
                <w:color w:val="auto"/>
              </w:rPr>
            </w:pPr>
            <w:r>
              <w:rPr>
                <w:rFonts w:ascii="Arial" w:cs="Arial" w:eastAsia="Arial" w:hAnsi="Arial"/>
                <w:sz w:val="18"/>
                <w:szCs w:val="18"/>
                <w:color w:val="auto"/>
              </w:rPr>
              <w:t>03/31/22</w:t>
            </w:r>
          </w:p>
        </w:tc>
      </w:tr>
      <w:tr>
        <w:trPr>
          <w:trHeight w:val="216"/>
        </w:trPr>
        <w:tc>
          <w:tcPr>
            <w:tcW w:w="3780" w:type="dxa"/>
            <w:vAlign w:val="bottom"/>
          </w:tcPr>
          <w:p>
            <w:pPr>
              <w:jc w:val="center"/>
              <w:ind w:left="10"/>
              <w:spacing w:after="0"/>
              <w:rPr>
                <w:sz w:val="20"/>
                <w:szCs w:val="20"/>
                <w:color w:val="auto"/>
              </w:rPr>
            </w:pPr>
            <w:r>
              <w:rPr>
                <w:rFonts w:ascii="Arial" w:cs="Arial" w:eastAsia="Arial" w:hAnsi="Arial"/>
                <w:sz w:val="18"/>
                <w:szCs w:val="18"/>
                <w:color w:val="auto"/>
                <w:w w:val="92"/>
              </w:rPr>
              <w:t>150,000</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18"/>
                <w:szCs w:val="18"/>
                <w:color w:val="auto"/>
              </w:rPr>
            </w:pPr>
          </w:p>
        </w:tc>
        <w:tc>
          <w:tcPr>
            <w:tcW w:w="3640" w:type="dxa"/>
            <w:vAlign w:val="bottom"/>
          </w:tcPr>
          <w:p>
            <w:pPr>
              <w:jc w:val="right"/>
              <w:ind w:right="1370"/>
              <w:spacing w:after="0"/>
              <w:rPr>
                <w:sz w:val="20"/>
                <w:szCs w:val="20"/>
                <w:color w:val="auto"/>
              </w:rPr>
            </w:pPr>
            <w:r>
              <w:rPr>
                <w:rFonts w:ascii="Arial" w:cs="Arial" w:eastAsia="Arial" w:hAnsi="Arial"/>
                <w:sz w:val="18"/>
                <w:szCs w:val="18"/>
                <w:color w:val="auto"/>
              </w:rPr>
              <w:t>10/30/18</w:t>
            </w:r>
          </w:p>
        </w:tc>
      </w:tr>
      <w:tr>
        <w:trPr>
          <w:trHeight w:val="216"/>
        </w:trPr>
        <w:tc>
          <w:tcPr>
            <w:tcW w:w="3780" w:type="dxa"/>
            <w:vAlign w:val="bottom"/>
          </w:tcPr>
          <w:p>
            <w:pPr>
              <w:jc w:val="center"/>
              <w:ind w:left="10"/>
              <w:spacing w:after="0"/>
              <w:rPr>
                <w:sz w:val="20"/>
                <w:szCs w:val="20"/>
                <w:color w:val="auto"/>
              </w:rPr>
            </w:pPr>
            <w:r>
              <w:rPr>
                <w:rFonts w:ascii="Arial" w:cs="Arial" w:eastAsia="Arial" w:hAnsi="Arial"/>
                <w:sz w:val="18"/>
                <w:szCs w:val="18"/>
                <w:color w:val="auto"/>
                <w:w w:val="89"/>
              </w:rPr>
              <w:t>1,135,000</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8"/>
                <w:szCs w:val="18"/>
                <w:color w:val="auto"/>
              </w:rPr>
            </w:pPr>
          </w:p>
        </w:tc>
        <w:tc>
          <w:tcPr>
            <w:tcW w:w="3640" w:type="dxa"/>
            <w:vAlign w:val="bottom"/>
          </w:tcPr>
          <w:p>
            <w:pPr>
              <w:jc w:val="right"/>
              <w:ind w:right="1370"/>
              <w:spacing w:after="0"/>
              <w:rPr>
                <w:sz w:val="20"/>
                <w:szCs w:val="20"/>
                <w:color w:val="auto"/>
              </w:rPr>
            </w:pPr>
            <w:r>
              <w:rPr>
                <w:rFonts w:ascii="Arial" w:cs="Arial" w:eastAsia="Arial" w:hAnsi="Arial"/>
                <w:sz w:val="18"/>
                <w:szCs w:val="18"/>
                <w:color w:val="auto"/>
              </w:rPr>
              <w:t>03/03/19</w:t>
            </w:r>
          </w:p>
        </w:tc>
      </w:tr>
      <w:tr>
        <w:trPr>
          <w:trHeight w:val="216"/>
        </w:trPr>
        <w:tc>
          <w:tcPr>
            <w:tcW w:w="3780" w:type="dxa"/>
            <w:vAlign w:val="bottom"/>
          </w:tcPr>
          <w:p>
            <w:pPr>
              <w:jc w:val="center"/>
              <w:ind w:left="10"/>
              <w:spacing w:after="0"/>
              <w:rPr>
                <w:sz w:val="20"/>
                <w:szCs w:val="20"/>
                <w:color w:val="auto"/>
              </w:rPr>
            </w:pPr>
            <w:r>
              <w:rPr>
                <w:rFonts w:ascii="Arial" w:cs="Arial" w:eastAsia="Arial" w:hAnsi="Arial"/>
                <w:sz w:val="18"/>
                <w:szCs w:val="18"/>
                <w:color w:val="auto"/>
                <w:w w:val="89"/>
              </w:rPr>
              <w:t>1,500,000</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18"/>
                <w:szCs w:val="18"/>
                <w:color w:val="auto"/>
              </w:rPr>
            </w:pPr>
          </w:p>
        </w:tc>
        <w:tc>
          <w:tcPr>
            <w:tcW w:w="3640" w:type="dxa"/>
            <w:vAlign w:val="bottom"/>
          </w:tcPr>
          <w:p>
            <w:pPr>
              <w:jc w:val="right"/>
              <w:ind w:right="1370"/>
              <w:spacing w:after="0"/>
              <w:rPr>
                <w:sz w:val="20"/>
                <w:szCs w:val="20"/>
                <w:color w:val="auto"/>
              </w:rPr>
            </w:pPr>
            <w:r>
              <w:rPr>
                <w:rFonts w:ascii="Arial" w:cs="Arial" w:eastAsia="Arial" w:hAnsi="Arial"/>
                <w:sz w:val="18"/>
                <w:szCs w:val="18"/>
                <w:color w:val="auto"/>
              </w:rPr>
              <w:t>02/22/21</w:t>
            </w:r>
          </w:p>
        </w:tc>
      </w:tr>
      <w:tr>
        <w:trPr>
          <w:trHeight w:val="216"/>
        </w:trPr>
        <w:tc>
          <w:tcPr>
            <w:tcW w:w="3780" w:type="dxa"/>
            <w:vAlign w:val="bottom"/>
          </w:tcPr>
          <w:p>
            <w:pPr>
              <w:jc w:val="center"/>
              <w:ind w:left="10"/>
              <w:spacing w:after="0"/>
              <w:rPr>
                <w:sz w:val="20"/>
                <w:szCs w:val="20"/>
                <w:color w:val="auto"/>
              </w:rPr>
            </w:pPr>
            <w:r>
              <w:rPr>
                <w:rFonts w:ascii="Arial" w:cs="Arial" w:eastAsia="Arial" w:hAnsi="Arial"/>
                <w:sz w:val="18"/>
                <w:szCs w:val="18"/>
                <w:color w:val="auto"/>
                <w:w w:val="92"/>
              </w:rPr>
              <w:t>500,000</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Arial" w:cs="Arial" w:eastAsia="Arial" w:hAnsi="Arial"/>
                <w:sz w:val="18"/>
                <w:szCs w:val="18"/>
                <w:color w:val="auto"/>
              </w:rPr>
              <w:t>$1.15</w:t>
            </w:r>
          </w:p>
        </w:tc>
        <w:tc>
          <w:tcPr>
            <w:tcW w:w="120" w:type="dxa"/>
            <w:vAlign w:val="bottom"/>
          </w:tcPr>
          <w:p>
            <w:pPr>
              <w:spacing w:after="0"/>
              <w:rPr>
                <w:sz w:val="18"/>
                <w:szCs w:val="18"/>
                <w:color w:val="auto"/>
              </w:rPr>
            </w:pPr>
          </w:p>
        </w:tc>
        <w:tc>
          <w:tcPr>
            <w:tcW w:w="3640" w:type="dxa"/>
            <w:vAlign w:val="bottom"/>
          </w:tcPr>
          <w:p>
            <w:pPr>
              <w:jc w:val="right"/>
              <w:ind w:right="1370"/>
              <w:spacing w:after="0"/>
              <w:rPr>
                <w:sz w:val="20"/>
                <w:szCs w:val="20"/>
                <w:color w:val="auto"/>
              </w:rPr>
            </w:pPr>
            <w:r>
              <w:rPr>
                <w:rFonts w:ascii="Arial" w:cs="Arial" w:eastAsia="Arial" w:hAnsi="Arial"/>
                <w:sz w:val="18"/>
                <w:szCs w:val="18"/>
                <w:color w:val="auto"/>
              </w:rPr>
              <w:t>07/28/21</w:t>
            </w:r>
          </w:p>
        </w:tc>
      </w:tr>
      <w:tr>
        <w:trPr>
          <w:trHeight w:val="216"/>
        </w:trPr>
        <w:tc>
          <w:tcPr>
            <w:tcW w:w="3780" w:type="dxa"/>
            <w:vAlign w:val="bottom"/>
          </w:tcPr>
          <w:p>
            <w:pPr>
              <w:jc w:val="center"/>
              <w:ind w:left="10"/>
              <w:spacing w:after="0"/>
              <w:rPr>
                <w:sz w:val="20"/>
                <w:szCs w:val="20"/>
                <w:color w:val="auto"/>
              </w:rPr>
            </w:pPr>
            <w:r>
              <w:rPr>
                <w:rFonts w:ascii="Arial" w:cs="Arial" w:eastAsia="Arial" w:hAnsi="Arial"/>
                <w:sz w:val="18"/>
                <w:szCs w:val="18"/>
                <w:color w:val="auto"/>
                <w:w w:val="87"/>
              </w:rPr>
              <w:t>20,000</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Arial" w:cs="Arial" w:eastAsia="Arial" w:hAnsi="Arial"/>
                <w:sz w:val="18"/>
                <w:szCs w:val="18"/>
                <w:color w:val="auto"/>
              </w:rPr>
              <w:t>$1.17</w:t>
            </w:r>
          </w:p>
        </w:tc>
        <w:tc>
          <w:tcPr>
            <w:tcW w:w="120" w:type="dxa"/>
            <w:vAlign w:val="bottom"/>
          </w:tcPr>
          <w:p>
            <w:pPr>
              <w:spacing w:after="0"/>
              <w:rPr>
                <w:sz w:val="18"/>
                <w:szCs w:val="18"/>
                <w:color w:val="auto"/>
              </w:rPr>
            </w:pPr>
          </w:p>
        </w:tc>
        <w:tc>
          <w:tcPr>
            <w:tcW w:w="3640" w:type="dxa"/>
            <w:vAlign w:val="bottom"/>
          </w:tcPr>
          <w:p>
            <w:pPr>
              <w:jc w:val="right"/>
              <w:ind w:right="1370"/>
              <w:spacing w:after="0"/>
              <w:rPr>
                <w:sz w:val="20"/>
                <w:szCs w:val="20"/>
                <w:color w:val="auto"/>
              </w:rPr>
            </w:pPr>
            <w:r>
              <w:rPr>
                <w:rFonts w:ascii="Arial" w:cs="Arial" w:eastAsia="Arial" w:hAnsi="Arial"/>
                <w:sz w:val="18"/>
                <w:szCs w:val="18"/>
                <w:color w:val="auto"/>
              </w:rPr>
              <w:t>11/01/22</w:t>
            </w:r>
          </w:p>
        </w:tc>
      </w:tr>
      <w:tr>
        <w:trPr>
          <w:trHeight w:val="216"/>
        </w:trPr>
        <w:tc>
          <w:tcPr>
            <w:tcW w:w="3780" w:type="dxa"/>
            <w:vAlign w:val="bottom"/>
          </w:tcPr>
          <w:p>
            <w:pPr>
              <w:jc w:val="center"/>
              <w:ind w:left="10"/>
              <w:spacing w:after="0"/>
              <w:rPr>
                <w:sz w:val="20"/>
                <w:szCs w:val="20"/>
                <w:color w:val="auto"/>
              </w:rPr>
            </w:pPr>
            <w:r>
              <w:rPr>
                <w:rFonts w:ascii="Arial" w:cs="Arial" w:eastAsia="Arial" w:hAnsi="Arial"/>
                <w:sz w:val="18"/>
                <w:szCs w:val="18"/>
                <w:color w:val="auto"/>
                <w:w w:val="92"/>
              </w:rPr>
              <w:t>100,000</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Arial" w:cs="Arial" w:eastAsia="Arial" w:hAnsi="Arial"/>
                <w:sz w:val="18"/>
                <w:szCs w:val="18"/>
                <w:color w:val="auto"/>
              </w:rPr>
              <w:t>$1.22</w:t>
            </w:r>
          </w:p>
        </w:tc>
        <w:tc>
          <w:tcPr>
            <w:tcW w:w="120" w:type="dxa"/>
            <w:vAlign w:val="bottom"/>
          </w:tcPr>
          <w:p>
            <w:pPr>
              <w:spacing w:after="0"/>
              <w:rPr>
                <w:sz w:val="18"/>
                <w:szCs w:val="18"/>
                <w:color w:val="auto"/>
              </w:rPr>
            </w:pPr>
          </w:p>
        </w:tc>
        <w:tc>
          <w:tcPr>
            <w:tcW w:w="3640" w:type="dxa"/>
            <w:vAlign w:val="bottom"/>
          </w:tcPr>
          <w:p>
            <w:pPr>
              <w:jc w:val="right"/>
              <w:ind w:right="1370"/>
              <w:spacing w:after="0"/>
              <w:rPr>
                <w:sz w:val="20"/>
                <w:szCs w:val="20"/>
                <w:color w:val="auto"/>
              </w:rPr>
            </w:pPr>
            <w:r>
              <w:rPr>
                <w:rFonts w:ascii="Arial" w:cs="Arial" w:eastAsia="Arial" w:hAnsi="Arial"/>
                <w:sz w:val="18"/>
                <w:szCs w:val="18"/>
                <w:color w:val="auto"/>
              </w:rPr>
              <w:t>03/03/19</w:t>
            </w:r>
          </w:p>
        </w:tc>
      </w:tr>
      <w:tr>
        <w:trPr>
          <w:trHeight w:val="216"/>
        </w:trPr>
        <w:tc>
          <w:tcPr>
            <w:tcW w:w="3780" w:type="dxa"/>
            <w:vAlign w:val="bottom"/>
          </w:tcPr>
          <w:p>
            <w:pPr>
              <w:jc w:val="center"/>
              <w:ind w:left="10"/>
              <w:spacing w:after="0"/>
              <w:rPr>
                <w:sz w:val="20"/>
                <w:szCs w:val="20"/>
                <w:color w:val="auto"/>
              </w:rPr>
            </w:pPr>
            <w:r>
              <w:rPr>
                <w:rFonts w:ascii="Arial" w:cs="Arial" w:eastAsia="Arial" w:hAnsi="Arial"/>
                <w:sz w:val="18"/>
                <w:szCs w:val="18"/>
                <w:color w:val="auto"/>
                <w:w w:val="87"/>
              </w:rPr>
              <w:t>31,250</w:t>
            </w:r>
          </w:p>
        </w:tc>
        <w:tc>
          <w:tcPr>
            <w:tcW w:w="120" w:type="dxa"/>
            <w:vAlign w:val="bottom"/>
          </w:tcPr>
          <w:p>
            <w:pPr>
              <w:spacing w:after="0"/>
              <w:rPr>
                <w:sz w:val="18"/>
                <w:szCs w:val="18"/>
                <w:color w:val="auto"/>
              </w:rPr>
            </w:pPr>
          </w:p>
        </w:tc>
        <w:tc>
          <w:tcPr>
            <w:tcW w:w="3760" w:type="dxa"/>
            <w:vAlign w:val="bottom"/>
          </w:tcPr>
          <w:p>
            <w:pPr>
              <w:jc w:val="right"/>
              <w:ind w:right="1530"/>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18"/>
                <w:szCs w:val="18"/>
                <w:color w:val="auto"/>
              </w:rPr>
            </w:pPr>
          </w:p>
        </w:tc>
        <w:tc>
          <w:tcPr>
            <w:tcW w:w="3640" w:type="dxa"/>
            <w:vAlign w:val="bottom"/>
          </w:tcPr>
          <w:p>
            <w:pPr>
              <w:jc w:val="right"/>
              <w:ind w:right="1370"/>
              <w:spacing w:after="0"/>
              <w:rPr>
                <w:sz w:val="20"/>
                <w:szCs w:val="20"/>
                <w:color w:val="auto"/>
              </w:rPr>
            </w:pPr>
            <w:r>
              <w:rPr>
                <w:rFonts w:ascii="Arial" w:cs="Arial" w:eastAsia="Arial" w:hAnsi="Arial"/>
                <w:sz w:val="18"/>
                <w:szCs w:val="18"/>
                <w:color w:val="auto"/>
              </w:rPr>
              <w:t>12/31/22</w:t>
            </w:r>
          </w:p>
        </w:tc>
      </w:tr>
      <w:tr>
        <w:trPr>
          <w:trHeight w:val="230"/>
        </w:trPr>
        <w:tc>
          <w:tcPr>
            <w:tcW w:w="3780" w:type="dxa"/>
            <w:vAlign w:val="bottom"/>
          </w:tcPr>
          <w:p>
            <w:pPr>
              <w:jc w:val="center"/>
              <w:ind w:left="10"/>
              <w:spacing w:after="0"/>
              <w:rPr>
                <w:sz w:val="20"/>
                <w:szCs w:val="20"/>
                <w:color w:val="auto"/>
              </w:rPr>
            </w:pPr>
            <w:r>
              <w:rPr>
                <w:rFonts w:ascii="Arial" w:cs="Arial" w:eastAsia="Arial" w:hAnsi="Arial"/>
                <w:sz w:val="18"/>
                <w:szCs w:val="18"/>
                <w:color w:val="auto"/>
                <w:w w:val="87"/>
              </w:rPr>
              <w:t>10,000</w:t>
            </w:r>
          </w:p>
        </w:tc>
        <w:tc>
          <w:tcPr>
            <w:tcW w:w="120" w:type="dxa"/>
            <w:vAlign w:val="bottom"/>
          </w:tcPr>
          <w:p>
            <w:pPr>
              <w:spacing w:after="0"/>
              <w:rPr>
                <w:sz w:val="20"/>
                <w:szCs w:val="20"/>
                <w:color w:val="auto"/>
              </w:rPr>
            </w:pPr>
          </w:p>
        </w:tc>
        <w:tc>
          <w:tcPr>
            <w:tcW w:w="3760" w:type="dxa"/>
            <w:vAlign w:val="bottom"/>
          </w:tcPr>
          <w:p>
            <w:pPr>
              <w:jc w:val="right"/>
              <w:ind w:right="1530"/>
              <w:spacing w:after="0"/>
              <w:rPr>
                <w:sz w:val="20"/>
                <w:szCs w:val="20"/>
                <w:color w:val="auto"/>
              </w:rPr>
            </w:pPr>
            <w:r>
              <w:rPr>
                <w:rFonts w:ascii="Arial" w:cs="Arial" w:eastAsia="Arial" w:hAnsi="Arial"/>
                <w:sz w:val="18"/>
                <w:szCs w:val="18"/>
                <w:color w:val="auto"/>
              </w:rPr>
              <w:t>$1.85</w:t>
            </w:r>
          </w:p>
        </w:tc>
        <w:tc>
          <w:tcPr>
            <w:tcW w:w="120" w:type="dxa"/>
            <w:vAlign w:val="bottom"/>
          </w:tcPr>
          <w:p>
            <w:pPr>
              <w:spacing w:after="0"/>
              <w:rPr>
                <w:sz w:val="20"/>
                <w:szCs w:val="20"/>
                <w:color w:val="auto"/>
              </w:rPr>
            </w:pPr>
          </w:p>
        </w:tc>
        <w:tc>
          <w:tcPr>
            <w:tcW w:w="3640" w:type="dxa"/>
            <w:vAlign w:val="bottom"/>
          </w:tcPr>
          <w:p>
            <w:pPr>
              <w:jc w:val="right"/>
              <w:ind w:right="1370"/>
              <w:spacing w:after="0"/>
              <w:rPr>
                <w:sz w:val="20"/>
                <w:szCs w:val="20"/>
                <w:color w:val="auto"/>
              </w:rPr>
            </w:pPr>
            <w:r>
              <w:rPr>
                <w:rFonts w:ascii="Arial" w:cs="Arial" w:eastAsia="Arial" w:hAnsi="Arial"/>
                <w:sz w:val="18"/>
                <w:szCs w:val="18"/>
                <w:color w:val="auto"/>
              </w:rPr>
              <w:t>01/29/19</w:t>
            </w:r>
          </w:p>
        </w:tc>
      </w:tr>
    </w:tbl>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issued warrants to purchase common stock, primarily in connection with capital raising activities. As discussed in Note 10, in connection with the strategic investment by WPP, in 2015 the Company issued warrants to purchase 240,444 shares of common stock with an exercise price of $0.7875 per share.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warrants, with an intrinsic value of $485,678, outstanding as of December 31, 2017:</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gridSpan w:val="2"/>
          </w:tcPr>
          <w:p>
            <w:pPr>
              <w:ind w:left="460"/>
              <w:spacing w:after="0"/>
              <w:rPr>
                <w:sz w:val="20"/>
                <w:szCs w:val="20"/>
                <w:color w:val="auto"/>
              </w:rPr>
            </w:pPr>
            <w:r>
              <w:rPr>
                <w:rFonts w:ascii="Arial" w:cs="Arial" w:eastAsia="Arial" w:hAnsi="Arial"/>
                <w:sz w:val="18"/>
                <w:szCs w:val="18"/>
                <w:color w:val="auto"/>
              </w:rPr>
              <w:t>Number of Shares Underlying Warrants</w:t>
            </w:r>
          </w:p>
        </w:tc>
        <w:tc>
          <w:tcPr>
            <w:tcW w:w="3880" w:type="dxa"/>
            <w:vAlign w:val="bottom"/>
            <w:gridSpan w:val="2"/>
          </w:tcPr>
          <w:p>
            <w:pPr>
              <w:ind w:left="1360"/>
              <w:spacing w:after="0"/>
              <w:rPr>
                <w:sz w:val="20"/>
                <w:szCs w:val="20"/>
                <w:color w:val="auto"/>
              </w:rPr>
            </w:pPr>
            <w:r>
              <w:rPr>
                <w:rFonts w:ascii="Arial" w:cs="Arial" w:eastAsia="Arial" w:hAnsi="Arial"/>
                <w:sz w:val="18"/>
                <w:szCs w:val="18"/>
                <w:color w:val="auto"/>
              </w:rPr>
              <w:t>Exercise Price</w:t>
            </w:r>
          </w:p>
        </w:tc>
        <w:tc>
          <w:tcPr>
            <w:tcW w:w="3640" w:type="dxa"/>
            <w:vAlign w:val="bottom"/>
          </w:tcPr>
          <w:p>
            <w:pPr>
              <w:jc w:val="right"/>
              <w:ind w:right="1170"/>
              <w:spacing w:after="0"/>
              <w:rPr>
                <w:sz w:val="20"/>
                <w:szCs w:val="20"/>
                <w:color w:val="auto"/>
              </w:rPr>
            </w:pPr>
            <w:r>
              <w:rPr>
                <w:rFonts w:ascii="Arial" w:cs="Arial" w:eastAsia="Arial" w:hAnsi="Arial"/>
                <w:sz w:val="18"/>
                <w:szCs w:val="18"/>
                <w:color w:val="auto"/>
              </w:rPr>
              <w:t>Expiration Date</w:t>
            </w:r>
          </w:p>
        </w:tc>
      </w:tr>
      <w:tr>
        <w:trPr>
          <w:trHeight w:val="202"/>
        </w:trPr>
        <w:tc>
          <w:tcPr>
            <w:tcW w:w="3780" w:type="dxa"/>
            <w:vAlign w:val="bottom"/>
            <w:tcBorders>
              <w:top w:val="single" w:sz="8" w:color="auto"/>
            </w:tcBorders>
          </w:tcPr>
          <w:p>
            <w:pPr>
              <w:jc w:val="right"/>
              <w:ind w:right="1450"/>
              <w:spacing w:after="0" w:line="201" w:lineRule="exact"/>
              <w:rPr>
                <w:sz w:val="20"/>
                <w:szCs w:val="20"/>
                <w:color w:val="auto"/>
              </w:rPr>
            </w:pPr>
            <w:r>
              <w:rPr>
                <w:rFonts w:ascii="Arial" w:cs="Arial" w:eastAsia="Arial" w:hAnsi="Arial"/>
                <w:sz w:val="18"/>
                <w:szCs w:val="18"/>
                <w:color w:val="auto"/>
              </w:rPr>
              <w:t>804,139</w:t>
            </w:r>
          </w:p>
        </w:tc>
        <w:tc>
          <w:tcPr>
            <w:tcW w:w="120" w:type="dxa"/>
            <w:vAlign w:val="bottom"/>
          </w:tcPr>
          <w:p>
            <w:pPr>
              <w:spacing w:after="0"/>
              <w:rPr>
                <w:sz w:val="17"/>
                <w:szCs w:val="17"/>
                <w:color w:val="auto"/>
              </w:rPr>
            </w:pPr>
          </w:p>
        </w:tc>
        <w:tc>
          <w:tcPr>
            <w:tcW w:w="3760" w:type="dxa"/>
            <w:vAlign w:val="bottom"/>
            <w:tcBorders>
              <w:top w:val="single" w:sz="8" w:color="auto"/>
            </w:tcBorders>
          </w:tcPr>
          <w:p>
            <w:pPr>
              <w:jc w:val="right"/>
              <w:ind w:right="1530"/>
              <w:spacing w:after="0" w:line="201" w:lineRule="exact"/>
              <w:rPr>
                <w:sz w:val="20"/>
                <w:szCs w:val="20"/>
                <w:color w:val="auto"/>
              </w:rPr>
            </w:pPr>
            <w:r>
              <w:rPr>
                <w:rFonts w:ascii="Arial" w:cs="Arial" w:eastAsia="Arial" w:hAnsi="Arial"/>
                <w:sz w:val="18"/>
                <w:szCs w:val="18"/>
                <w:color w:val="auto"/>
              </w:rPr>
              <w:t>$1.20</w:t>
            </w:r>
          </w:p>
        </w:tc>
        <w:tc>
          <w:tcPr>
            <w:tcW w:w="120" w:type="dxa"/>
            <w:vAlign w:val="bottom"/>
          </w:tcPr>
          <w:p>
            <w:pPr>
              <w:spacing w:after="0"/>
              <w:rPr>
                <w:sz w:val="17"/>
                <w:szCs w:val="17"/>
                <w:color w:val="auto"/>
              </w:rPr>
            </w:pPr>
          </w:p>
        </w:tc>
        <w:tc>
          <w:tcPr>
            <w:tcW w:w="3640" w:type="dxa"/>
            <w:vAlign w:val="bottom"/>
            <w:tcBorders>
              <w:top w:val="single" w:sz="8" w:color="auto"/>
            </w:tcBorders>
          </w:tcPr>
          <w:p>
            <w:pPr>
              <w:jc w:val="right"/>
              <w:ind w:right="1270"/>
              <w:spacing w:after="0" w:line="201" w:lineRule="exact"/>
              <w:rPr>
                <w:sz w:val="20"/>
                <w:szCs w:val="20"/>
                <w:color w:val="auto"/>
              </w:rPr>
            </w:pPr>
            <w:r>
              <w:rPr>
                <w:rFonts w:ascii="Arial" w:cs="Arial" w:eastAsia="Arial" w:hAnsi="Arial"/>
                <w:sz w:val="18"/>
                <w:szCs w:val="18"/>
                <w:color w:val="auto"/>
              </w:rPr>
              <w:t>03/17/2019</w:t>
            </w:r>
          </w:p>
        </w:tc>
      </w:tr>
      <w:tr>
        <w:trPr>
          <w:trHeight w:val="230"/>
        </w:trPr>
        <w:tc>
          <w:tcPr>
            <w:tcW w:w="3780" w:type="dxa"/>
            <w:vAlign w:val="bottom"/>
          </w:tcPr>
          <w:p>
            <w:pPr>
              <w:jc w:val="right"/>
              <w:ind w:right="1450"/>
              <w:spacing w:after="0"/>
              <w:rPr>
                <w:sz w:val="20"/>
                <w:szCs w:val="20"/>
                <w:color w:val="auto"/>
              </w:rPr>
            </w:pPr>
            <w:r>
              <w:rPr>
                <w:rFonts w:ascii="Arial" w:cs="Arial" w:eastAsia="Arial" w:hAnsi="Arial"/>
                <w:sz w:val="18"/>
                <w:szCs w:val="18"/>
                <w:color w:val="auto"/>
              </w:rPr>
              <w:t>240,444</w:t>
            </w:r>
          </w:p>
        </w:tc>
        <w:tc>
          <w:tcPr>
            <w:tcW w:w="120" w:type="dxa"/>
            <w:vAlign w:val="bottom"/>
          </w:tcPr>
          <w:p>
            <w:pPr>
              <w:spacing w:after="0"/>
              <w:rPr>
                <w:sz w:val="20"/>
                <w:szCs w:val="20"/>
                <w:color w:val="auto"/>
              </w:rPr>
            </w:pPr>
          </w:p>
        </w:tc>
        <w:tc>
          <w:tcPr>
            <w:tcW w:w="3760" w:type="dxa"/>
            <w:vAlign w:val="bottom"/>
          </w:tcPr>
          <w:p>
            <w:pPr>
              <w:jc w:val="right"/>
              <w:ind w:right="1450"/>
              <w:spacing w:after="0"/>
              <w:rPr>
                <w:sz w:val="20"/>
                <w:szCs w:val="20"/>
                <w:color w:val="auto"/>
              </w:rPr>
            </w:pPr>
            <w:r>
              <w:rPr>
                <w:rFonts w:ascii="Arial" w:cs="Arial" w:eastAsia="Arial" w:hAnsi="Arial"/>
                <w:sz w:val="18"/>
                <w:szCs w:val="18"/>
                <w:color w:val="auto"/>
              </w:rPr>
              <w:t>$0.7875</w:t>
            </w:r>
          </w:p>
        </w:tc>
        <w:tc>
          <w:tcPr>
            <w:tcW w:w="120" w:type="dxa"/>
            <w:vAlign w:val="bottom"/>
          </w:tcPr>
          <w:p>
            <w:pPr>
              <w:spacing w:after="0"/>
              <w:rPr>
                <w:sz w:val="20"/>
                <w:szCs w:val="20"/>
                <w:color w:val="auto"/>
              </w:rPr>
            </w:pPr>
          </w:p>
        </w:tc>
        <w:tc>
          <w:tcPr>
            <w:tcW w:w="3640" w:type="dxa"/>
            <w:vAlign w:val="bottom"/>
          </w:tcPr>
          <w:p>
            <w:pPr>
              <w:jc w:val="right"/>
              <w:ind w:right="1270"/>
              <w:spacing w:after="0"/>
              <w:rPr>
                <w:sz w:val="20"/>
                <w:szCs w:val="20"/>
                <w:color w:val="auto"/>
              </w:rPr>
            </w:pPr>
            <w:r>
              <w:rPr>
                <w:rFonts w:ascii="Arial" w:cs="Arial" w:eastAsia="Arial" w:hAnsi="Arial"/>
                <w:sz w:val="18"/>
                <w:szCs w:val="18"/>
                <w:color w:val="auto"/>
              </w:rPr>
              <w:t>09/24/2020</w:t>
            </w:r>
          </w:p>
        </w:tc>
      </w:tr>
    </w:tbl>
    <w:p>
      <w:pPr>
        <w:spacing w:after="0" w:line="200" w:lineRule="exact"/>
        <w:rPr>
          <w:sz w:val="20"/>
          <w:szCs w:val="20"/>
          <w:color w:val="auto"/>
        </w:rPr>
      </w:pPr>
    </w:p>
    <w:p>
      <w:pPr>
        <w:sectPr>
          <w:pgSz w:w="11900" w:h="16838" w:orient="portrait"/>
          <w:cols w:equalWidth="0" w:num="1">
            <w:col w:w="11420"/>
          </w:cols>
          <w:pgMar w:left="240" w:top="337"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The Company had the following warrant activity during the years ended December 31, 2017 and 2016: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Outstanding, January 1,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Expired</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Balance, December 31,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Granted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Expired</w:t>
      </w:r>
    </w:p>
    <w:p>
      <w:pPr>
        <w:spacing w:after="0" w:line="2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Balance, December 31, 2017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16"/>
        </w:trPr>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Weighted</w:t>
            </w:r>
          </w:p>
        </w:tc>
      </w:tr>
      <w:tr>
        <w:trPr>
          <w:trHeight w:val="216"/>
        </w:trPr>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center"/>
              <w:ind w:right="200"/>
              <w:spacing w:after="0"/>
              <w:rPr>
                <w:sz w:val="20"/>
                <w:szCs w:val="20"/>
                <w:color w:val="auto"/>
              </w:rPr>
            </w:pPr>
            <w:r>
              <w:rPr>
                <w:rFonts w:ascii="Arial" w:cs="Arial" w:eastAsia="Arial" w:hAnsi="Arial"/>
                <w:sz w:val="18"/>
                <w:szCs w:val="18"/>
                <w:color w:val="auto"/>
                <w:w w:val="86"/>
              </w:rPr>
              <w:t>average</w:t>
            </w:r>
          </w:p>
        </w:tc>
      </w:tr>
      <w:tr>
        <w:trPr>
          <w:trHeight w:val="237"/>
        </w:trPr>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Warrants</w:t>
            </w:r>
          </w:p>
        </w:tc>
        <w:tc>
          <w:tcPr>
            <w:tcW w:w="20" w:type="dxa"/>
            <w:vAlign w:val="bottom"/>
          </w:tcPr>
          <w:p>
            <w:pPr>
              <w:spacing w:after="0"/>
              <w:rPr>
                <w:sz w:val="20"/>
                <w:szCs w:val="20"/>
                <w:color w:val="auto"/>
              </w:rPr>
            </w:pPr>
          </w:p>
        </w:tc>
        <w:tc>
          <w:tcPr>
            <w:tcW w:w="114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exercise price</w:t>
            </w:r>
          </w:p>
        </w:tc>
      </w:tr>
      <w:tr>
        <w:trPr>
          <w:trHeight w:val="202"/>
        </w:trPr>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2,094,583</w:t>
            </w: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98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1.65</w:t>
            </w:r>
          </w:p>
        </w:tc>
        <w:tc>
          <w:tcPr>
            <w:tcW w:w="20" w:type="dxa"/>
            <w:vAlign w:val="bottom"/>
          </w:tcPr>
          <w:p>
            <w:pPr>
              <w:spacing w:after="0"/>
              <w:rPr>
                <w:sz w:val="17"/>
                <w:szCs w:val="17"/>
                <w:color w:val="auto"/>
              </w:rPr>
            </w:pPr>
          </w:p>
        </w:tc>
      </w:tr>
      <w:tr>
        <w:trPr>
          <w:trHeight w:val="216"/>
        </w:trPr>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51"/>
        </w:trPr>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16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0.89</w:t>
            </w:r>
          </w:p>
        </w:tc>
      </w:tr>
      <w:tr>
        <w:trPr>
          <w:trHeight w:val="202"/>
        </w:trPr>
        <w:tc>
          <w:tcPr>
            <w:tcW w:w="1140" w:type="dxa"/>
            <w:vAlign w:val="bottom"/>
            <w:tcBorders>
              <w:top w:val="single" w:sz="8" w:color="auto"/>
            </w:tcBorders>
          </w:tcPr>
          <w:p>
            <w:pPr>
              <w:jc w:val="right"/>
              <w:spacing w:after="0" w:line="201" w:lineRule="exact"/>
              <w:rPr>
                <w:sz w:val="20"/>
                <w:szCs w:val="20"/>
                <w:color w:val="auto"/>
              </w:rPr>
            </w:pPr>
            <w:r>
              <w:rPr>
                <w:rFonts w:ascii="Arial" w:cs="Arial" w:eastAsia="Arial" w:hAnsi="Arial"/>
                <w:sz w:val="18"/>
                <w:szCs w:val="18"/>
                <w:color w:val="auto"/>
              </w:rPr>
              <w:t>2,044,583</w:t>
            </w:r>
          </w:p>
        </w:tc>
        <w:tc>
          <w:tcPr>
            <w:tcW w:w="220" w:type="dxa"/>
            <w:vAlign w:val="bottom"/>
          </w:tcPr>
          <w:p>
            <w:pPr>
              <w:spacing w:after="0"/>
              <w:rPr>
                <w:sz w:val="17"/>
                <w:szCs w:val="17"/>
                <w:color w:val="auto"/>
              </w:rPr>
            </w:pPr>
          </w:p>
        </w:tc>
        <w:tc>
          <w:tcPr>
            <w:tcW w:w="16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gridSpan w:val="2"/>
          </w:tcPr>
          <w:p>
            <w:pPr>
              <w:jc w:val="right"/>
              <w:ind w:right="20"/>
              <w:spacing w:after="0" w:line="201" w:lineRule="exact"/>
              <w:rPr>
                <w:sz w:val="20"/>
                <w:szCs w:val="20"/>
                <w:color w:val="auto"/>
              </w:rPr>
            </w:pPr>
            <w:r>
              <w:rPr>
                <w:rFonts w:ascii="Arial" w:cs="Arial" w:eastAsia="Arial" w:hAnsi="Arial"/>
                <w:sz w:val="18"/>
                <w:szCs w:val="18"/>
                <w:color w:val="auto"/>
              </w:rPr>
              <w:t>1.67</w:t>
            </w:r>
          </w:p>
        </w:tc>
      </w:tr>
      <w:tr>
        <w:trPr>
          <w:trHeight w:val="216"/>
        </w:trPr>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244"/>
        </w:trPr>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(1,000,000)</w:t>
            </w:r>
          </w:p>
        </w:tc>
        <w:tc>
          <w:tcPr>
            <w:tcW w:w="16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r>
      <w:tr>
        <w:trPr>
          <w:trHeight w:val="27"/>
        </w:trPr>
        <w:tc>
          <w:tcPr>
            <w:tcW w:w="11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gridSpan w:val="2"/>
            <w:shd w:val="clear" w:color="auto" w:fill="000000"/>
          </w:tcPr>
          <w:p>
            <w:pPr>
              <w:spacing w:after="0"/>
              <w:rPr>
                <w:sz w:val="2"/>
                <w:szCs w:val="2"/>
                <w:color w:val="auto"/>
              </w:rPr>
            </w:pPr>
          </w:p>
        </w:tc>
        <w:tc>
          <w:tcPr>
            <w:tcW w:w="1000" w:type="dxa"/>
            <w:vAlign w:val="bottom"/>
            <w:gridSpan w:val="2"/>
            <w:shd w:val="clear" w:color="auto" w:fill="000000"/>
          </w:tcPr>
          <w:p>
            <w:pPr>
              <w:spacing w:after="0"/>
              <w:rPr>
                <w:sz w:val="2"/>
                <w:szCs w:val="2"/>
                <w:color w:val="auto"/>
              </w:rPr>
            </w:pPr>
          </w:p>
        </w:tc>
      </w:tr>
      <w:tr>
        <w:trPr>
          <w:trHeight w:val="250"/>
        </w:trPr>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1,044,583</w:t>
            </w:r>
          </w:p>
        </w:tc>
        <w:tc>
          <w:tcPr>
            <w:tcW w:w="160" w:type="dxa"/>
            <w:vAlign w:val="bottom"/>
            <w:gridSpan w:val="2"/>
          </w:tcPr>
          <w:p>
            <w:pPr>
              <w:jc w:val="right"/>
              <w:ind w:right="10"/>
              <w:spacing w:after="0"/>
              <w:rPr>
                <w:sz w:val="20"/>
                <w:szCs w:val="20"/>
                <w:color w:val="auto"/>
              </w:rPr>
            </w:pPr>
            <w:r>
              <w:rPr>
                <w:rFonts w:ascii="Arial" w:cs="Arial" w:eastAsia="Arial" w:hAnsi="Arial"/>
                <w:sz w:val="15"/>
                <w:szCs w:val="15"/>
                <w:color w:val="auto"/>
                <w:w w:val="71"/>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1.11</w:t>
            </w:r>
          </w:p>
        </w:tc>
      </w:tr>
      <w:tr>
        <w:trPr>
          <w:trHeight w:val="21"/>
        </w:trPr>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8100" w:space="720"/>
            <w:col w:w="2600"/>
          </w:cols>
          <w:pgMar w:left="240" w:top="337"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NOTE 13 – MAJOR CUSTOMERS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one customer that individually accounted for approximately 12% of revenue in 2017 and a different customer that individually accounted for approximately 12% of revenue in 2016. No other customers accounted for more than 10% of revenue in either year presented.</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14 – INCOME TAXES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2017, the Company had net operating loss carry forwards of approximately $12.2 million that expire from 2027 through 2037 that are available to offset future taxable income. The Company was formed in 2006 as a limited liability company and changed to a corporation in 2007. Activity prior to incorporation is not reflected in the Company’s corporate tax returns. In the future, the cumulative net operating loss carry-forward for income tax purposes may differ from the cumulative financial statement loss due to timing differences between book and tax reporting.</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39" w:name="page40"/>
    <w:bookmarkEnd w:id="39"/>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NOTE 14 – INCOME TAXES (continued)</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480" w:type="dxa"/>
            <w:vAlign w:val="bottom"/>
          </w:tcPr>
          <w:p>
            <w:pPr>
              <w:spacing w:after="0"/>
              <w:rPr>
                <w:sz w:val="20"/>
                <w:szCs w:val="20"/>
                <w:color w:val="auto"/>
              </w:rPr>
            </w:pPr>
            <w:r>
              <w:rPr>
                <w:rFonts w:ascii="Arial" w:cs="Arial" w:eastAsia="Arial" w:hAnsi="Arial"/>
                <w:sz w:val="18"/>
                <w:szCs w:val="18"/>
                <w:color w:val="auto"/>
                <w:w w:val="94"/>
              </w:rPr>
              <w:t>The provision for Federal income tax consists of the following for the years ended December 31, 2017 and 2016:</w:t>
            </w: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3"/>
        </w:trPr>
        <w:tc>
          <w:tcPr>
            <w:tcW w:w="8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480" w:type="dxa"/>
            <w:vAlign w:val="bottom"/>
          </w:tcPr>
          <w:p>
            <w:pPr>
              <w:spacing w:after="0" w:line="201" w:lineRule="exact"/>
              <w:rPr>
                <w:sz w:val="20"/>
                <w:szCs w:val="20"/>
                <w:color w:val="auto"/>
              </w:rPr>
            </w:pPr>
            <w:r>
              <w:rPr>
                <w:rFonts w:ascii="Arial" w:cs="Arial" w:eastAsia="Arial" w:hAnsi="Arial"/>
                <w:sz w:val="18"/>
                <w:szCs w:val="18"/>
                <w:color w:val="auto"/>
              </w:rPr>
              <w:t>Federal income tax benefit attributable to:</w:t>
            </w: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Current operations</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715,000</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523,000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Permanent and timing differences (net)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(280,000)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133,000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80" w:type="dxa"/>
            <w:vAlign w:val="bottom"/>
          </w:tcPr>
          <w:p>
            <w:pPr>
              <w:ind w:left="180"/>
              <w:spacing w:after="0"/>
              <w:rPr>
                <w:sz w:val="20"/>
                <w:szCs w:val="20"/>
                <w:color w:val="auto"/>
              </w:rPr>
            </w:pPr>
            <w:r>
              <w:rPr>
                <w:rFonts w:ascii="Arial" w:cs="Arial" w:eastAsia="Arial" w:hAnsi="Arial"/>
                <w:sz w:val="18"/>
                <w:szCs w:val="18"/>
                <w:color w:val="auto"/>
              </w:rPr>
              <w:t>Tax rate change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(1,600,000)</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4"/>
        </w:trPr>
        <w:tc>
          <w:tcPr>
            <w:tcW w:w="8480" w:type="dxa"/>
            <w:vAlign w:val="bottom"/>
          </w:tcPr>
          <w:p>
            <w:pPr>
              <w:ind w:left="180"/>
              <w:spacing w:after="0"/>
              <w:rPr>
                <w:sz w:val="20"/>
                <w:szCs w:val="20"/>
                <w:color w:val="auto"/>
              </w:rPr>
            </w:pPr>
            <w:r>
              <w:rPr>
                <w:rFonts w:ascii="Arial" w:cs="Arial" w:eastAsia="Arial" w:hAnsi="Arial"/>
                <w:sz w:val="18"/>
                <w:szCs w:val="18"/>
                <w:color w:val="auto"/>
              </w:rPr>
              <w:t>Valuation allowance</w:t>
            </w:r>
          </w:p>
        </w:tc>
        <w:tc>
          <w:tcPr>
            <w:tcW w:w="3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1,165,000</w:t>
            </w:r>
          </w:p>
        </w:tc>
        <w:tc>
          <w:tcPr>
            <w:tcW w:w="240" w:type="dxa"/>
            <w:vAlign w:val="bottom"/>
          </w:tcPr>
          <w:p>
            <w:pPr>
              <w:spacing w:after="0"/>
              <w:rPr>
                <w:sz w:val="21"/>
                <w:szCs w:val="21"/>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(656,000)</w:t>
            </w:r>
          </w:p>
        </w:tc>
        <w:tc>
          <w:tcPr>
            <w:tcW w:w="0" w:type="dxa"/>
            <w:vAlign w:val="bottom"/>
          </w:tcPr>
          <w:p>
            <w:pPr>
              <w:spacing w:after="0"/>
              <w:rPr>
                <w:sz w:val="1"/>
                <w:szCs w:val="1"/>
                <w:color w:val="auto"/>
              </w:rPr>
            </w:pPr>
          </w:p>
        </w:tc>
      </w:tr>
      <w:tr>
        <w:trPr>
          <w:trHeight w:val="27"/>
        </w:trPr>
        <w:tc>
          <w:tcPr>
            <w:tcW w:w="8480" w:type="dxa"/>
            <w:vAlign w:val="bottom"/>
            <w:vMerge w:val="restart"/>
          </w:tcPr>
          <w:p>
            <w:pPr>
              <w:ind w:left="360"/>
              <w:spacing w:after="0"/>
              <w:rPr>
                <w:sz w:val="20"/>
                <w:szCs w:val="20"/>
                <w:color w:val="auto"/>
              </w:rPr>
            </w:pPr>
            <w:r>
              <w:rPr>
                <w:rFonts w:ascii="Arial" w:cs="Arial" w:eastAsia="Arial" w:hAnsi="Arial"/>
                <w:sz w:val="18"/>
                <w:szCs w:val="18"/>
                <w:color w:val="auto"/>
              </w:rPr>
              <w:t>Net provision for federal income tax</w:t>
            </w: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480" w:type="dxa"/>
            <w:vAlign w:val="bottom"/>
            <w:vMerge w:val="continue"/>
          </w:tcPr>
          <w:p>
            <w:pPr>
              <w:spacing w:after="0"/>
              <w:rPr>
                <w:sz w:val="21"/>
                <w:szCs w:val="21"/>
                <w:color w:val="auto"/>
              </w:rPr>
            </w:pP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
        </w:trPr>
        <w:tc>
          <w:tcPr>
            <w:tcW w:w="84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cumulative tax effect at the expected rate of 34%, as of December 31, 2016, and 21% as of December 31, 2017, of significant items comprising our net deferred tax amount is as follows as of December 31, 2017 and 2016:</w:t>
      </w:r>
    </w:p>
    <w:p>
      <w:pPr>
        <w:sectPr>
          <w:pgSz w:w="11900" w:h="16838" w:orient="portrait"/>
          <w:cols w:equalWidth="0" w:num="1">
            <w:col w:w="11420"/>
          </w:cols>
          <w:pgMar w:left="240" w:top="337" w:right="239" w:bottom="1440" w:gutter="0" w:footer="0" w:header="0"/>
        </w:sectPr>
      </w:pPr>
    </w:p>
    <w:p>
      <w:pPr>
        <w:spacing w:after="0" w:line="200" w:lineRule="exact"/>
        <w:rPr>
          <w:sz w:val="20"/>
          <w:szCs w:val="20"/>
          <w:color w:val="auto"/>
        </w:rPr>
      </w:pPr>
    </w:p>
    <w:p>
      <w:pPr>
        <w:spacing w:after="0" w:line="227" w:lineRule="exact"/>
        <w:rPr>
          <w:sz w:val="20"/>
          <w:szCs w:val="20"/>
          <w:color w:val="auto"/>
        </w:rPr>
      </w:pPr>
    </w:p>
    <w:p>
      <w:pPr>
        <w:jc w:val="center"/>
        <w:ind w:right="5693"/>
        <w:spacing w:after="0"/>
        <w:rPr>
          <w:sz w:val="20"/>
          <w:szCs w:val="20"/>
          <w:color w:val="auto"/>
        </w:rPr>
      </w:pPr>
      <w:r>
        <w:rPr>
          <w:rFonts w:ascii="Arial" w:cs="Arial" w:eastAsia="Arial" w:hAnsi="Arial"/>
          <w:sz w:val="16"/>
          <w:szCs w:val="16"/>
          <w:color w:val="auto"/>
        </w:rPr>
        <w:t>Deferred tax asset attributable to:</w:t>
      </w:r>
    </w:p>
    <w:p>
      <w:pPr>
        <w:spacing w:after="0" w:line="4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Net operating loss carryover</w:t>
      </w:r>
    </w:p>
    <w:p>
      <w:pPr>
        <w:spacing w:after="0" w:line="2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Depreciation and amortization</w:t>
      </w:r>
    </w:p>
    <w:p>
      <w:pPr>
        <w:spacing w:after="0" w:line="3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Stock compensation</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Valuation allowance</w:t>
      </w:r>
    </w:p>
    <w:p>
      <w:pPr>
        <w:spacing w:after="0" w:line="2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Net deferred tax asset</w:t>
      </w:r>
    </w:p>
    <w:p>
      <w:pPr>
        <w:spacing w:after="0" w:line="20" w:lineRule="exact"/>
        <w:rPr>
          <w:sz w:val="20"/>
          <w:szCs w:val="20"/>
          <w:color w:val="auto"/>
        </w:rPr>
      </w:pPr>
      <w:r>
        <w:rPr>
          <w:sz w:val="20"/>
          <w:szCs w:val="20"/>
          <w:color w:val="auto"/>
        </w:rPr>
        <w:br w:type="column"/>
      </w:r>
    </w:p>
    <w:p>
      <w:pPr>
        <w:spacing w:after="0" w:line="164" w:lineRule="exact"/>
        <w:rPr>
          <w:sz w:val="20"/>
          <w:szCs w:val="20"/>
          <w:color w:val="auto"/>
        </w:rPr>
      </w:pPr>
    </w:p>
    <w:p>
      <w:pPr>
        <w:ind w:left="387"/>
        <w:spacing w:after="0"/>
        <w:tabs>
          <w:tab w:leader="none" w:pos="1726" w:val="left"/>
        </w:tabs>
        <w:rPr>
          <w:sz w:val="20"/>
          <w:szCs w:val="20"/>
          <w:color w:val="auto"/>
        </w:rPr>
      </w:pPr>
      <w:r>
        <w:rPr>
          <w:rFonts w:ascii="Arial" w:cs="Arial" w:eastAsia="Arial" w:hAnsi="Arial"/>
          <w:sz w:val="18"/>
          <w:szCs w:val="18"/>
          <w:color w:val="auto"/>
        </w:rPr>
        <w:t>2017</w:t>
      </w:r>
      <w:r>
        <w:rPr>
          <w:sz w:val="20"/>
          <w:szCs w:val="20"/>
          <w:color w:val="auto"/>
        </w:rPr>
        <w:tab/>
      </w:r>
      <w:r>
        <w:rPr>
          <w:rFonts w:ascii="Arial" w:cs="Arial" w:eastAsia="Arial" w:hAnsi="Arial"/>
          <w:sz w:val="18"/>
          <w:szCs w:val="18"/>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8623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232" w:lineRule="exact"/>
        <w:rPr>
          <w:sz w:val="20"/>
          <w:szCs w:val="20"/>
          <w:color w:val="auto"/>
        </w:rPr>
      </w:pPr>
    </w:p>
    <w:p>
      <w:pPr>
        <w:ind w:left="427" w:hanging="427"/>
        <w:spacing w:after="0"/>
        <w:tabs>
          <w:tab w:leader="none" w:pos="427" w:val="left"/>
        </w:tabs>
        <w:numPr>
          <w:ilvl w:val="0"/>
          <w:numId w:val="17"/>
        </w:numPr>
        <w:rPr>
          <w:rFonts w:ascii="Arial" w:cs="Arial" w:eastAsia="Arial" w:hAnsi="Arial"/>
          <w:sz w:val="18"/>
          <w:szCs w:val="18"/>
          <w:color w:val="auto"/>
        </w:rPr>
      </w:pPr>
      <w:r>
        <w:rPr>
          <w:rFonts w:ascii="Arial" w:cs="Arial" w:eastAsia="Arial" w:hAnsi="Arial"/>
          <w:sz w:val="18"/>
          <w:szCs w:val="18"/>
          <w:color w:val="auto"/>
        </w:rPr>
        <w:t>2,551,000   $</w:t>
      </w:r>
      <w:r>
        <w:rPr>
          <w:rFonts w:ascii="Arial" w:cs="Arial" w:eastAsia="Arial" w:hAnsi="Arial"/>
          <w:sz w:val="16"/>
          <w:szCs w:val="16"/>
          <w:color w:val="auto"/>
        </w:rPr>
        <w:t>3,648,000</w:t>
      </w:r>
    </w:p>
    <w:p>
      <w:pPr>
        <w:spacing w:after="0" w:line="23" w:lineRule="exact"/>
        <w:rPr>
          <w:rFonts w:ascii="Arial" w:cs="Arial" w:eastAsia="Arial" w:hAnsi="Arial"/>
          <w:sz w:val="18"/>
          <w:szCs w:val="18"/>
          <w:color w:val="auto"/>
        </w:rPr>
      </w:pPr>
    </w:p>
    <w:p>
      <w:pPr>
        <w:ind w:left="647"/>
        <w:spacing w:after="0"/>
        <w:rPr>
          <w:rFonts w:ascii="Arial" w:cs="Arial" w:eastAsia="Arial" w:hAnsi="Arial"/>
          <w:sz w:val="18"/>
          <w:szCs w:val="18"/>
          <w:color w:val="auto"/>
        </w:rPr>
      </w:pPr>
      <w:r>
        <w:rPr>
          <w:rFonts w:ascii="Arial" w:cs="Arial" w:eastAsia="Arial" w:hAnsi="Arial"/>
          <w:sz w:val="18"/>
          <w:szCs w:val="18"/>
          <w:color w:val="auto"/>
        </w:rPr>
        <w:t>98,000</w:t>
      </w:r>
      <w:r>
        <w:rPr>
          <w:rFonts w:ascii="Arial" w:cs="Arial" w:eastAsia="Arial" w:hAnsi="Arial"/>
          <w:sz w:val="16"/>
          <w:szCs w:val="16"/>
          <w:color w:val="auto"/>
        </w:rPr>
        <w:t>126,000</w:t>
      </w:r>
    </w:p>
    <w:p>
      <w:pPr>
        <w:spacing w:after="0" w:line="9" w:lineRule="exact"/>
        <w:rPr>
          <w:sz w:val="20"/>
          <w:szCs w:val="20"/>
          <w:color w:val="auto"/>
        </w:rPr>
      </w:pPr>
    </w:p>
    <w:p>
      <w:pPr>
        <w:ind w:left="567"/>
        <w:spacing w:after="0"/>
        <w:tabs>
          <w:tab w:leader="none" w:pos="1886" w:val="left"/>
        </w:tabs>
        <w:rPr>
          <w:sz w:val="20"/>
          <w:szCs w:val="20"/>
          <w:color w:val="auto"/>
        </w:rPr>
      </w:pPr>
      <w:r>
        <w:rPr>
          <w:rFonts w:ascii="Arial" w:cs="Arial" w:eastAsia="Arial" w:hAnsi="Arial"/>
          <w:sz w:val="18"/>
          <w:szCs w:val="18"/>
          <w:color w:val="auto"/>
        </w:rPr>
        <w:t>372,000</w:t>
      </w:r>
      <w:r>
        <w:rPr>
          <w:sz w:val="20"/>
          <w:szCs w:val="20"/>
          <w:color w:val="auto"/>
        </w:rPr>
        <w:tab/>
      </w:r>
      <w:r>
        <w:rPr>
          <w:rFonts w:ascii="Arial" w:cs="Arial" w:eastAsia="Arial" w:hAnsi="Arial"/>
          <w:sz w:val="18"/>
          <w:szCs w:val="18"/>
          <w:color w:val="auto"/>
        </w:rPr>
        <w:t>339,000</w:t>
      </w:r>
    </w:p>
    <w:p>
      <w:pPr>
        <w:spacing w:after="0" w:line="9" w:lineRule="exact"/>
        <w:rPr>
          <w:sz w:val="20"/>
          <w:szCs w:val="20"/>
          <w:color w:val="auto"/>
        </w:rPr>
      </w:pPr>
    </w:p>
    <w:p>
      <w:pPr>
        <w:ind w:left="2007" w:hanging="919"/>
        <w:spacing w:after="0"/>
        <w:tabs>
          <w:tab w:leader="none" w:pos="2007" w:val="left"/>
        </w:tabs>
        <w:numPr>
          <w:ilvl w:val="0"/>
          <w:numId w:val="18"/>
        </w:numPr>
        <w:rPr>
          <w:rFonts w:ascii="Arial" w:cs="Arial" w:eastAsia="Arial" w:hAnsi="Arial"/>
          <w:sz w:val="18"/>
          <w:szCs w:val="18"/>
          <w:color w:val="auto"/>
        </w:rPr>
      </w:pPr>
      <w:r>
        <w:rPr>
          <w:rFonts w:ascii="Arial" w:cs="Arial" w:eastAsia="Arial" w:hAnsi="Arial"/>
          <w:sz w:val="18"/>
          <w:szCs w:val="18"/>
          <w:color w:val="auto"/>
        </w:rPr>
        <w:t>73,000</w:t>
      </w:r>
    </w:p>
    <w:p>
      <w:pPr>
        <w:spacing w:after="0" w:line="9" w:lineRule="exact"/>
        <w:rPr>
          <w:rFonts w:ascii="Arial" w:cs="Arial" w:eastAsia="Arial" w:hAnsi="Arial"/>
          <w:sz w:val="18"/>
          <w:szCs w:val="18"/>
          <w:color w:val="auto"/>
        </w:rPr>
      </w:pPr>
    </w:p>
    <w:p>
      <w:pPr>
        <w:ind w:left="367"/>
        <w:spacing w:after="0"/>
        <w:rPr>
          <w:rFonts w:ascii="Arial" w:cs="Arial" w:eastAsia="Arial" w:hAnsi="Arial"/>
          <w:sz w:val="18"/>
          <w:szCs w:val="18"/>
          <w:color w:val="auto"/>
        </w:rPr>
      </w:pPr>
      <w:r>
        <w:rPr>
          <w:rFonts w:ascii="Arial" w:cs="Arial" w:eastAsia="Arial" w:hAnsi="Arial"/>
          <w:sz w:val="18"/>
          <w:szCs w:val="18"/>
          <w:color w:val="auto"/>
        </w:rPr>
        <w:t>(3,021,000)</w:t>
      </w:r>
      <w:r>
        <w:rPr>
          <w:rFonts w:ascii="Arial" w:cs="Arial" w:eastAsia="Arial" w:hAnsi="Arial"/>
          <w:sz w:val="16"/>
          <w:szCs w:val="16"/>
          <w:color w:val="auto"/>
        </w:rPr>
        <w:t>(4,186,000)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8623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586230" cy="17145"/>
                    </a:xfrm>
                    <a:prstGeom prst="rect">
                      <a:avLst/>
                    </a:prstGeom>
                    <a:noFill/>
                  </pic:spPr>
                </pic:pic>
              </a:graphicData>
            </a:graphic>
          </wp:anchor>
        </w:drawing>
      </w:r>
    </w:p>
    <w:p>
      <w:pPr>
        <w:spacing w:after="0" w:line="42" w:lineRule="exact"/>
        <w:rPr>
          <w:sz w:val="20"/>
          <w:szCs w:val="20"/>
          <w:color w:val="auto"/>
        </w:rPr>
      </w:pPr>
    </w:p>
    <w:p>
      <w:pPr>
        <w:ind w:left="7"/>
        <w:spacing w:after="0"/>
        <w:tabs>
          <w:tab w:leader="none" w:pos="1066" w:val="left"/>
          <w:tab w:leader="none" w:pos="1346" w:val="left"/>
          <w:tab w:leader="none" w:pos="2426"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tab/>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1586230" cy="431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586230" cy="431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8093" w:space="720"/>
            <w:col w:w="2607"/>
          </w:cols>
          <w:pgMar w:left="240" w:top="337" w:right="239" w:bottom="1440" w:gutter="0" w:footer="0" w:header="0"/>
          <w:type w:val="continuous"/>
        </w:sectPr>
      </w:pPr>
    </w:p>
    <w:p>
      <w:pPr>
        <w:spacing w:after="0" w:line="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certain circumstances issuance of common shares can result in an ownership change under Internal Revenue Code Section 382 which limits the Company’s ability to utilize carry forwards from prior to the ownership change. Any such ownership change resulting from stock issuances and redemptions could limit the Company’s ability to utilize any net operating loss carry forwards or credits generated before this change in ownership. These limitations can limit both the timing of usage of these laws, as well as the loss of the ability to use these net operating losses. It is likely that fundraising activities have resulted in such an ownership change.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NOTE 15 – COMMITMENTS AND CONTINGENT LIABILITIES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Legal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not involved in any legal proceedings.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Revenue-share contracts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contacts with various Electronic Health Records systems and ePrescribe platforms, whereby we agree to share a portion of the revenue we generate for eCoupons distributed through their networks. These contracts grant audit rights related to the payments to our partners, and in some cases would require us to pay for the audit if the audit determined there was an underpayment and the underpayment meets certain thresholds, such as 10%.</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2017</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COMMITMENTS AND CONTINGENT LIABILITIES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Operating Leases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initially signed the lease for its current office space located in Rochester Michigan on December 1, 2011. That lease expired November 30, 2016 and the Company signed a new lease for the same space. The current lease is a three-year lease beginning December 1, 2016, with options for up to an additional 6 years. The rent is payable monthly at rates of $6,232, $6,308, and $6,384 per month for years 1, 2, and 3 of the lease, respectively. The monthly rates for the option years range from $6,384 per month to $6,688 per month for the option years 4 through 9 of the lease. If the Company fails to exercise its option for option years 4 and 5, a least termination payment of $7,300 will be due at the end of the initial 3-year term.</w:t>
      </w:r>
    </w:p>
    <w:p>
      <w:pPr>
        <w:spacing w:after="0" w:line="17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also has month to month leases on shared office spaces in Cambridge Massachusetts and Nashville, Tennessee, payable at rates of $2,700 per month and $1,370 per month, respectively.</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180" w:type="dxa"/>
            <w:vAlign w:val="bottom"/>
          </w:tcPr>
          <w:p>
            <w:pPr>
              <w:spacing w:after="0"/>
              <w:rPr>
                <w:sz w:val="20"/>
                <w:szCs w:val="20"/>
                <w:color w:val="auto"/>
              </w:rPr>
            </w:pPr>
            <w:r>
              <w:rPr>
                <w:rFonts w:ascii="Arial" w:cs="Arial" w:eastAsia="Arial" w:hAnsi="Arial"/>
                <w:sz w:val="18"/>
                <w:szCs w:val="18"/>
                <w:color w:val="auto"/>
              </w:rPr>
              <w:t>Minimum annual rent payments are as follows for the remaining term of the leases:</w:t>
            </w:r>
          </w:p>
        </w:tc>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r>
      <w:tr>
        <w:trPr>
          <w:trHeight w:val="418"/>
        </w:trPr>
        <w:tc>
          <w:tcPr>
            <w:tcW w:w="10180" w:type="dxa"/>
            <w:vAlign w:val="bottom"/>
          </w:tcPr>
          <w:p>
            <w:pPr>
              <w:spacing w:after="0"/>
              <w:rPr>
                <w:sz w:val="20"/>
                <w:szCs w:val="20"/>
                <w:color w:val="auto"/>
              </w:rPr>
            </w:pPr>
            <w:r>
              <w:rPr>
                <w:rFonts w:ascii="Arial" w:cs="Arial" w:eastAsia="Arial" w:hAnsi="Arial"/>
                <w:sz w:val="18"/>
                <w:szCs w:val="18"/>
                <w:color w:val="auto"/>
              </w:rPr>
              <w:t>Year ended December 31:</w:t>
            </w: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216"/>
        </w:trPr>
        <w:tc>
          <w:tcPr>
            <w:tcW w:w="10180" w:type="dxa"/>
            <w:vAlign w:val="bottom"/>
          </w:tcPr>
          <w:p>
            <w:pPr>
              <w:jc w:val="right"/>
              <w:ind w:right="955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75,772</w:t>
            </w:r>
          </w:p>
        </w:tc>
      </w:tr>
      <w:tr>
        <w:trPr>
          <w:trHeight w:val="251"/>
        </w:trPr>
        <w:tc>
          <w:tcPr>
            <w:tcW w:w="10180" w:type="dxa"/>
            <w:vAlign w:val="bottom"/>
          </w:tcPr>
          <w:p>
            <w:pPr>
              <w:jc w:val="right"/>
              <w:ind w:right="955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70,224</w:t>
            </w:r>
          </w:p>
        </w:tc>
      </w:tr>
      <w:tr>
        <w:trPr>
          <w:trHeight w:val="250"/>
        </w:trPr>
        <w:tc>
          <w:tcPr>
            <w:tcW w:w="10180" w:type="dxa"/>
            <w:vAlign w:val="bottom"/>
          </w:tcPr>
          <w:p>
            <w:pPr>
              <w:spacing w:after="0" w:line="203" w:lineRule="exact"/>
              <w:rPr>
                <w:sz w:val="20"/>
                <w:szCs w:val="20"/>
                <w:color w:val="auto"/>
              </w:rPr>
            </w:pPr>
            <w:r>
              <w:rPr>
                <w:rFonts w:ascii="Arial" w:cs="Arial" w:eastAsia="Arial" w:hAnsi="Arial"/>
                <w:sz w:val="18"/>
                <w:szCs w:val="18"/>
                <w:color w:val="auto"/>
              </w:rPr>
              <w:t>Total lease commitment</w:t>
            </w:r>
          </w:p>
        </w:tc>
        <w:tc>
          <w:tcPr>
            <w:tcW w:w="320" w:type="dxa"/>
            <w:vAlign w:val="bottom"/>
            <w:tcBorders>
              <w:bottom w:val="single" w:sz="8" w:color="auto"/>
            </w:tcBorders>
          </w:tcPr>
          <w:p>
            <w:pPr>
              <w:jc w:val="right"/>
              <w:ind w:right="1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145,996</w:t>
            </w:r>
          </w:p>
        </w:tc>
      </w:tr>
      <w:tr>
        <w:trPr>
          <w:trHeight w:val="21"/>
        </w:trPr>
        <w:tc>
          <w:tcPr>
            <w:tcW w:w="101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Allscripts Agreement</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2015, we signed an amendment to our Allscripts agreement whereby we became its exclusive eCoupon supplier and Allscripts agreed to integrate our eCoupon functionality into its Touchworks platform. Under the terms of this agreement, we agreed to pay $900,000 in two installments. The first installment of $250,000 was due and paid in November 2015. The second installment of $650,000 originally was due when the e-Coupon functionality was launched on a widespread basis in the Touchworks platform, which occurred February 28, 2017. A payment of $325,000 was made at the time and the remaining amount due was extended until October,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Hosting agreement</w:t>
      </w:r>
    </w:p>
    <w:p>
      <w:pPr>
        <w:spacing w:after="0" w:line="23" w:lineRule="exact"/>
        <w:rPr>
          <w:sz w:val="20"/>
          <w:szCs w:val="20"/>
          <w:color w:val="auto"/>
        </w:rPr>
      </w:pPr>
    </w:p>
    <w:p>
      <w:pPr>
        <w:jc w:val="both"/>
        <w:spacing w:after="0" w:line="277" w:lineRule="auto"/>
        <w:rPr>
          <w:sz w:val="20"/>
          <w:szCs w:val="20"/>
          <w:color w:val="auto"/>
        </w:rPr>
      </w:pPr>
      <w:r>
        <w:rPr>
          <w:rFonts w:ascii="Arial" w:cs="Arial" w:eastAsia="Arial" w:hAnsi="Arial"/>
          <w:sz w:val="17"/>
          <w:szCs w:val="17"/>
          <w:color w:val="auto"/>
        </w:rPr>
        <w:t>The Company has an agreement with a third party to host and administer its software through March 31, 2018 at a rate of $24,230 per month for a total of $72,690 for the three-month period. That agreement was terminated in December 2017 with an effective date of March 31, 2018 in conjunction with moving to a more cost-effective solution and in connection with that termination, the Company will make additional payments of $220,440</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NOTE 16 – RETIREMENT PLAN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sponsors a defined contribution 401(k) profit sharing plan which was adopted in December 2015, effective in January 2016. Under the terms of the plan, the Company matches 100% of the first 3% of payroll contributed by the employee and 50% of the next 2% of payroll contributed by the employee to a maximum of 4% of an employee’s payroll. There was expense of $137,858 and $64,690 recorded in 2017 and 2016, respectively, for company contributions to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17 – SUBSEQUENT EVENTS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February 2018, the Company’s Board of Directors amended the 2013 Equity Compensation Plan to increase the number of shares authorized under the plan to 5,500,000. At the same time, the Company granted 390,000 shares of restricted common stock to officers and options to purchase 320,000 shares of common stock with an exercise price of $1.40 to non-officers, both of which vest only if the Company achieves certain stretch revenue goals in either 2019 or 2020. In addition, the Company accelerated vesting to 2018 on 300,000 existing options that previously vested in 2021.</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Item 9. Changes In and Disagreements with Accountants on Accounting and Financial Disclosure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On August 30, 2017, KLJ &amp; Associates LLP resigned as our independent registered accounting firm. We have engaged Sadler, Gibb &amp; Associates, LLC as our independent registered accounting firm effective August 30, 2017. The decision to change accountants was approved by our board of directors. For more information on the change in accountants, please see our Form 8-K filed with the Securities and Exchange Commission on September 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9A. 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Based on an evaluation under the supervision and with the participation of the Company’s management, the Company’s principal executive officer and principal financial officer have concluded that the Company’s disclosure controls and procedures as defined in Rules 13a-15(e) and 15d-15(e) under the Exchange Act were effective as of December 31, 2017 to provide reasonable assurance that information required to be disclosed by the Company in reports that it files or submits under the Exchange Act is (i) recorded, processed, summarized and reported within the time periods specified in the SEC rules and forms and (ii) accumulated and communicated to the Company’s management, including its principal executive officer and principal financial officer, as appropriate to allow timely decisions regarding required disclosure.</w:t>
      </w:r>
    </w:p>
    <w:p>
      <w:pPr>
        <w:spacing w:after="0" w:line="19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disclosed in more detail in our Form 10-K for the year ended December 31, 2016, such report filed with the SEC, management previously identified material weaknesses related to inadequate segregation of duties and inadequate information technology reporting systems to insure accurate financial information was provided for accounting and financial reporting with respect to the requirements and application of both US GAAP and SEC guidelines.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During the second quarter of 2017, management has remedied the material weaknesses as discussed below.</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hired an additional finance person in January 2017 to address the segregation of duties issue and we have also hired a Vice President of Information Technology, around the same time, to address the technology system weaknesses. These additional personnel and the processes we have put in place have remedied the material weaknesses in our internal controls over financial reporting.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Inherent Limitations Over Internal Controls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Company’s internal control over financial reporting is designed to provide reasonable assurance regarding the reliability of financial reporting and the preparation of financial statements for external purposes in accordance with U.S. generally accepted accounting principles (“GAAP”). The Company’s internal control over financial reporting includes those policies and procedures that:</w:t>
      </w:r>
    </w:p>
    <w:p>
      <w:pPr>
        <w:spacing w:after="0" w:line="181" w:lineRule="exact"/>
        <w:rPr>
          <w:sz w:val="20"/>
          <w:szCs w:val="20"/>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pertain to the maintenance of records that, in reasonable detail, accurately and fairly reflect the transactions and dispositions of the Company’s assets;</w:t>
      </w:r>
    </w:p>
    <w:p>
      <w:pPr>
        <w:spacing w:after="0" w:line="170" w:lineRule="exact"/>
        <w:rPr>
          <w:rFonts w:ascii="Arial" w:cs="Arial" w:eastAsia="Arial" w:hAnsi="Arial"/>
          <w:sz w:val="18"/>
          <w:szCs w:val="18"/>
          <w:color w:val="auto"/>
        </w:rPr>
      </w:pPr>
    </w:p>
    <w:p>
      <w:pPr>
        <w:jc w:val="both"/>
        <w:ind w:left="1300" w:hanging="644"/>
        <w:spacing w:after="0" w:line="264"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that transactions are recorded as necessary to permit preparation of financial statements in accordance with GAAP, and that the Company’s receipts and expenditures are being made only in accordance with authorizations of the Company’s management and directors; and</w:t>
      </w:r>
    </w:p>
    <w:p>
      <w:pPr>
        <w:spacing w:after="0" w:line="181"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reasonable assurance regarding prevention or timely detection of unauthorized acquisition, use, or disposition of the Company’s assets that could have a material effect on the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Company’s management is responsible for establishing and maintaining adequate internal control over financial reporting (as defined in Rule 13a-15(f) under the Exchange Act). Management conducted an assessment of the effectiveness of the Company’s internal control over financial reporting based on the criteria set forth in Internal Control – Integrated Framework issued by the Committee of Sponsoring Organizations of the Treadway Commission (2013 framework). Based on the Company’s assessment, management has concluded that its internal control over financial reporting was effective as of December 31, 2017 to provide reasonable assurance regarding the reliability of financial reporting and the preparation of financial statements in accordance with GAAP.</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annual report does not include an attestation report of our registered public accounting firm regarding internal control over financial reporting. Management’s report was not subject to attestation by our registered public accounting firm pursuant to an exemption for non-accelerated filers set forth in Section 989G of the Dodd-Frank Wall Street Reform and Consumer Protection Act.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most recently completed fiscal quarter, there has been no change in our internal control over financial reporting that has materially affected or is reasonably likely to materially affect, our internal control over financial reporting.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9B.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42" w:name="page43"/>
    <w:bookmarkEnd w:id="42"/>
    <w:p>
      <w:pPr>
        <w:jc w:val="center"/>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 Directors, Executive Officers and Corporate Governance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3560" w:type="dxa"/>
            <w:vAlign w:val="bottom"/>
            <w:gridSpan w:val="2"/>
          </w:tcPr>
          <w:p>
            <w:pPr>
              <w:ind w:left="1500"/>
              <w:spacing w:after="0"/>
              <w:rPr>
                <w:sz w:val="20"/>
                <w:szCs w:val="20"/>
                <w:color w:val="auto"/>
              </w:rPr>
            </w:pPr>
            <w:r>
              <w:rPr>
                <w:rFonts w:ascii="Arial" w:cs="Arial" w:eastAsia="Arial" w:hAnsi="Arial"/>
                <w:sz w:val="18"/>
                <w:szCs w:val="18"/>
                <w:b w:val="1"/>
                <w:bCs w:val="1"/>
                <w:color w:val="auto"/>
              </w:rPr>
              <w:t>Name</w:t>
            </w:r>
          </w:p>
        </w:tc>
        <w:tc>
          <w:tcPr>
            <w:tcW w:w="148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Age</w:t>
            </w:r>
          </w:p>
        </w:tc>
        <w:tc>
          <w:tcPr>
            <w:tcW w:w="6380" w:type="dxa"/>
            <w:vAlign w:val="bottom"/>
          </w:tcPr>
          <w:p>
            <w:pPr>
              <w:ind w:left="2180"/>
              <w:spacing w:after="0"/>
              <w:rPr>
                <w:sz w:val="20"/>
                <w:szCs w:val="20"/>
                <w:color w:val="auto"/>
              </w:rPr>
            </w:pPr>
            <w:r>
              <w:rPr>
                <w:rFonts w:ascii="Arial" w:cs="Arial" w:eastAsia="Arial" w:hAnsi="Arial"/>
                <w:sz w:val="18"/>
                <w:szCs w:val="18"/>
                <w:b w:val="1"/>
                <w:bCs w:val="1"/>
                <w:color w:val="auto"/>
              </w:rPr>
              <w:t>Positions and Offices Held</w:t>
            </w:r>
          </w:p>
        </w:tc>
      </w:tr>
      <w:tr>
        <w:trPr>
          <w:trHeight w:val="216"/>
        </w:trPr>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William J. Febbo</w:t>
            </w: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Borders>
              <w:top w:val="single" w:sz="8" w:color="CCEEFF"/>
            </w:tcBorders>
            <w:shd w:val="clear" w:color="auto" w:fill="CCEEFF"/>
          </w:tcPr>
          <w:p>
            <w:pPr>
              <w:spacing w:after="0"/>
              <w:rPr>
                <w:sz w:val="18"/>
                <w:szCs w:val="18"/>
                <w:color w:val="auto"/>
              </w:rPr>
            </w:pPr>
          </w:p>
        </w:tc>
        <w:tc>
          <w:tcPr>
            <w:tcW w:w="6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Chief Executive Officer, Director</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Miriam J. Paramore</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President</w:t>
            </w: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SVP – Sales</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Douglas P. Baker</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Gus D. Halas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67</w:t>
            </w:r>
          </w:p>
        </w:tc>
        <w:tc>
          <w:tcPr>
            <w:tcW w:w="1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Chairperson and Director</w:t>
            </w: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Jack Pinney</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1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Lynn Vos</w:t>
            </w:r>
          </w:p>
        </w:tc>
        <w:tc>
          <w:tcPr>
            <w:tcW w:w="13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62</w:t>
            </w:r>
          </w:p>
        </w:tc>
        <w:tc>
          <w:tcPr>
            <w:tcW w:w="120" w:type="dxa"/>
            <w:vAlign w:val="bottom"/>
            <w:shd w:val="clear" w:color="auto" w:fill="CCEEFF"/>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Director</w:t>
            </w: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James Lang</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20" w:type="dxa"/>
            <w:vAlign w:val="bottom"/>
          </w:tcPr>
          <w:p>
            <w:pPr>
              <w:spacing w:after="0"/>
              <w:rPr>
                <w:sz w:val="20"/>
                <w:szCs w:val="20"/>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-1269365</wp:posOffset>
            </wp:positionV>
            <wp:extent cx="7246620" cy="126047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William J. Febbo</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Mr. Febbo joined our company as Chief Executive Officer on February 22, 2016. Mr. Febbo brings more than 18 years of experience in building and managing health services and financial businesses. Before joining our company, Mr. Febbo served as Chairman and Founder of Plexus, LLC, a payment processing business for medical professionals. From 2007 to 2015, he worked with Merriman Holdings, Inc., an investment banking firm. There he served as Chief Operating Officer and assisted with capital raises in the tech, biotech, cleantech, consumer and resources industries. From 2013 to 2015, he also worked with Digital Capital Network, Inc., which operated a transaction platform for institutional and accredited investors. There he served as Chief Executive Officer and Co-Founder and managed the day-to-day operations of the digital portal for institutional level investments. Prior to Merriman, Mr Febbo was CEO and co-founder of MedPanel, a provider of market intelligence and communications for the pharmaceutical, biomedical, and medical device industries, which was eventually acquired by MCF Corporation.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Febbo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Febbo is qualified to serve on our Board of Directors because of his wealth of experience in building and managing health services and financial businesses.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Miriam J. Paramore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Ms. Paramore joined the company as President in August 2017. She has vast experience with healthcare companies, running businesses ranging from start-ups to large divisions of public and private companies. Her early career was spent at Ernst &amp; Young, as a Healthcare Management Consultant. She has since occupied executive level and director positions at several healthcare companies. Most recently, from April 2016 to April 2017, Ms. Paramore served as COO and CTO of Lucro, Inc., a privately held company in| Nashville, Tennessee focused on the healthcare sector. From March 2015 to February 2016, she served as Executive Vice President of PDX a privately held company in Fort Worth, Texas that provides health information technology for pharmacies. From May 2008 to December 2013, she served as Executive Vice President of Emdeon, Inc. in Nashville, Tennessee, a health information technology and tech-enabled services company.</w:t>
      </w:r>
    </w:p>
    <w:p>
      <w:pPr>
        <w:spacing w:after="0" w:line="18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Ms. Paramore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Mr. Hamilton joined our company as VP of Sales in February 2008 and became SVP of Sales in 2016.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and Government Account Manager. Mr. Hamilton was a Director of the Company from 2008 through March 2016.</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Hamilton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Gus D. Halas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Mr. Halas joined our company as a Director on August 7, 2014. Mr. Halas has served as CEO of several companies. He was Chief Executive Officer and President of the Central Operating Companies at Central Garden &amp; Pet Company from April 2011 through May 2013 and currently serves as a consultant to that Company. Mr. Halas was President and Chief Executive Officer of T-3 Energy Services, Inc. from May 2003 to March 2009 and also served as Chairman of the Board of Directors from March 2004 to March 2009. From August 2001 to April 2003, Mr. Halas served as President and Chief Executive Officer of Clore Automotive, Inc. He also serves as a director for Triangle Petroleum Corp., Hooper Holmes, Inc., School Specialty, Inc., and Madelena Energy.</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Halas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Mr. Halas is qualified to serve on our Board of Directors because of his experience and expertise as an executive and a director with companies implementing “turnaround” strategies.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Jack Pinney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Pinney joined our company as a Director on August 13, 2014. From 2007 to the present, Dr. Pinney has served as Team Physician to the Great Lakes Loons baseball team in the LA Dodgers organization. From 2011 to the present, he has served as Medical Director for WellSport MidMichigan Medical Center. From 1992 to the present, he has served as Assistant Clinical Professor of Family Medicine for the Department of Family Medicine at Michigan State University College of Human Medicine. From 1992 to 2012, he served as Assistant Director for the Midland Family Practice Residency Program at MidMichigan Medical Center.</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Dr. Pinney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Dr. Pinney is qualified to serve on our Board of Directors because of his expertise medicine and prescription practices of physicians.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Lynn Vos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Ms. Vos has been the President and CEO of the Muscular Distrophy Association since October 2017. Prior to that, Ms. Vos had been chief executive officer of ghg | greyhealth group since 1994 and is a champion of using digital capabilities to improve the public health. Ms. Vos also serves on the board of nTelos Wireless, a NASDAQ listed company, the Jed Foundation, a leading nonprofit dedicated to protecting the emotional health of college students, and was a founding board member of MMRF, a pioneering cancer research foundation.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Ms. Vos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Ms. Vos is qualified to serve on our Board of Directors because of her extensive executive skills in digital marketing and communications in the healthcare industry.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James Lang</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Lang joined our Board January 12, 2017. He brings us more than 25 years of experience in healthcare data, analytic, and technology enabled business services. Mr. Lang presently serves as an executive advisor to Water Street, a strategic private equity firm focused exclusively on building market-leading companies in healthcare. In that capacity, he currently serves as Board Chairman to The Access Group, Health Strategies Group, Alliance Life Sciences, and Dohmen Life Science Services. He is also a director of BioVie, a development-stage company pioneering an innovative therapeutic that targets complications due to liver cirrhosis.</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Mr. Lang previously served as CEO of Decision Resources Group, a leading healthcare research and consulting company providing high-value healthcare industry analysis and insights, where he helped transform the company into an industry leader. Earlier, he was president of Strategic Decisions Group, a premier global strategy consultancy, and he expanded the life sciences practice and later sold it to IMS Health. He is an active private investor and advisor with healthcare companies, including Boston Heart Diagnostics (acquired by Eurofins) and AlphalmpactRx (acquired by IMS Health).</w:t>
      </w:r>
    </w:p>
    <w:p>
      <w:pPr>
        <w:spacing w:after="0" w:line="1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Lang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Mr. Lang is qualified to serve on our Board of Directors because of his extensive executive skills and background in the healthcare industry.</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P. Baker</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Mr. Baker has served as our CFO since May 19, 2014. Mr. Baker is a Certified Public Account with a Master’s Degree in Business Administration. He has extensive business experience including 9 years in public accounting with Plante Moran, 4 years as CFO of a privately held printing company, 5 years in a variety of divisional financial roles at MascoTech, Inc., a Fortune 500 automotive supplier, and from 1996 to 2014 as Chief Financial Officer of Applied Nanotech Holdings, Inc., (“APNT”) a publicly held nanotechnology research and licensing company. Mr. Baker was also a member of the Board of Directors of APNT from 2006 through 2014. He is also currently Chairman of the Board of Total Health Care, Inc., a Detroit based Health Maintenance Organization and has been a member of that Board since 1987.</w:t>
      </w:r>
    </w:p>
    <w:p>
      <w:pPr>
        <w:spacing w:after="0" w:line="19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Aside from that provided above, Mr. Baker does not hold and has not held over the past five years any other directorships in any company with a class of securities registered pursuant to Section 12 of the Exchange Act or subject to the requirements of Section 15(d) of the Exchange Act or any company registered as an investment company under the Investment Company Act of 1940.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bylaws authorize no less than three (3) and no more than Seven (7) Directors unless changed by the Board of Directors. The Investor Rights Agreement we signed with WPP Luxembourg Gamma Three Sarl states that our Board of Directors shall consist of five (5) Directors, but that provision was waived by WPP in January 2017 and the Board was expanded at that time. We currently have six (6) Directors.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 subject to their respective employment agreements.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During the past 10 years, none of our current directors, nominees for directors or current executive officers has been involved in any legal proceeding identified in Item 401(f) of Regulation S-K, including:</w:t>
      </w:r>
    </w:p>
    <w:p>
      <w:pPr>
        <w:spacing w:after="0" w:line="170" w:lineRule="exact"/>
        <w:rPr>
          <w:sz w:val="20"/>
          <w:szCs w:val="20"/>
          <w:color w:val="auto"/>
        </w:rPr>
      </w:pPr>
    </w:p>
    <w:p>
      <w:pPr>
        <w:jc w:val="both"/>
        <w:ind w:firstLine="8"/>
        <w:spacing w:after="0" w:line="312" w:lineRule="auto"/>
        <w:tabs>
          <w:tab w:leader="none" w:pos="178"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petition under the Federal bankruptcy laws or any state insolvency law filed by or against, or a receiver, fiscal agent or similar officer was appointed by a court for the business or property of such person, or any partnership in which he or she was a general partner at or within two years before the time of such filing, or any corporation or business association of which he or she was an executive officer at or within two years before the time of such filing;</w:t>
      </w:r>
    </w:p>
    <w:p>
      <w:pPr>
        <w:spacing w:after="0" w:line="146" w:lineRule="exact"/>
        <w:rPr>
          <w:rFonts w:ascii="Arial" w:cs="Arial" w:eastAsia="Arial" w:hAnsi="Arial"/>
          <w:sz w:val="16"/>
          <w:szCs w:val="16"/>
          <w:color w:val="auto"/>
        </w:rPr>
      </w:pPr>
    </w:p>
    <w:p>
      <w:pPr>
        <w:ind w:left="180" w:hanging="172"/>
        <w:spacing w:after="0"/>
        <w:tabs>
          <w:tab w:leader="none" w:pos="1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Any conviction in a criminal proceeding or being named a subject of a pending criminal proceeding (excluding traffic violations and other minor offenses);</w:t>
      </w:r>
    </w:p>
    <w:p>
      <w:pPr>
        <w:spacing w:after="0" w:line="248" w:lineRule="exact"/>
        <w:rPr>
          <w:rFonts w:ascii="Arial" w:cs="Arial" w:eastAsia="Arial" w:hAnsi="Arial"/>
          <w:sz w:val="16"/>
          <w:szCs w:val="16"/>
          <w:color w:val="auto"/>
        </w:rPr>
      </w:pPr>
    </w:p>
    <w:p>
      <w:pPr>
        <w:ind w:right="20" w:firstLine="8"/>
        <w:spacing w:after="0" w:line="277" w:lineRule="auto"/>
        <w:tabs>
          <w:tab w:leader="none" w:pos="19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Being subject to any order, judgment, or decree, not subsequently reversed, suspended or vacated, of any court of competent jurisdiction, permanently or temporarily enjoining him or her from, or otherwise limiting, the following activities: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 Acting as a futures commission merchant, introducing broker, commodity trading advisor, commodity pool operator, floor broker, leverage transaction merchant, any other person regulated by the Commodity Futures Trading Commission, or an associated person of any of the foregoing, or as an investment adviser, underwriter, broker or dealer in securities, or as an affiliated person, director or employee of any investment company, bank, savings and loan association or insurance company, or engaging in or continuing any conduct or practice in connection with such activity;</w:t>
      </w:r>
    </w:p>
    <w:p>
      <w:pPr>
        <w:spacing w:after="0" w:line="171" w:lineRule="exact"/>
        <w:rPr>
          <w:sz w:val="20"/>
          <w:szCs w:val="20"/>
          <w:color w:val="auto"/>
        </w:rPr>
      </w:pPr>
    </w:p>
    <w:p>
      <w:pPr>
        <w:ind w:left="200" w:hanging="192"/>
        <w:spacing w:after="0"/>
        <w:tabs>
          <w:tab w:leader="none" w:pos="2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Engaging in any type of business practice; or</w:t>
      </w:r>
    </w:p>
    <w:p>
      <w:pPr>
        <w:spacing w:after="0" w:line="225" w:lineRule="exact"/>
        <w:rPr>
          <w:rFonts w:ascii="Arial" w:cs="Arial" w:eastAsia="Arial" w:hAnsi="Arial"/>
          <w:sz w:val="18"/>
          <w:szCs w:val="18"/>
          <w:color w:val="auto"/>
        </w:rPr>
      </w:pPr>
    </w:p>
    <w:p>
      <w:pPr>
        <w:ind w:right="20" w:firstLine="8"/>
        <w:spacing w:after="0" w:line="277" w:lineRule="auto"/>
        <w:tabs>
          <w:tab w:leader="none" w:pos="256"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Engaging in any activity in connection with the purchase or sale of any security or commodity or in connection with any violation of Federal or State securities laws or Federal commodities laws;</w:t>
      </w:r>
    </w:p>
    <w:p>
      <w:pPr>
        <w:spacing w:after="0" w:line="170" w:lineRule="exact"/>
        <w:rPr>
          <w:sz w:val="20"/>
          <w:szCs w:val="20"/>
          <w:color w:val="auto"/>
        </w:rPr>
      </w:pPr>
    </w:p>
    <w:p>
      <w:pPr>
        <w:jc w:val="both"/>
        <w:ind w:firstLine="8"/>
        <w:spacing w:after="0" w:line="286" w:lineRule="auto"/>
        <w:tabs>
          <w:tab w:leader="none" w:pos="188" w:val="left"/>
        </w:tabs>
        <w:numPr>
          <w:ilvl w:val="0"/>
          <w:numId w:val="22"/>
        </w:numPr>
        <w:rPr>
          <w:rFonts w:ascii="Arial" w:cs="Arial" w:eastAsia="Arial" w:hAnsi="Arial"/>
          <w:sz w:val="17"/>
          <w:szCs w:val="17"/>
          <w:color w:val="auto"/>
        </w:rPr>
      </w:pPr>
      <w:r>
        <w:rPr>
          <w:rFonts w:ascii="Arial" w:cs="Arial" w:eastAsia="Arial" w:hAnsi="Arial"/>
          <w:sz w:val="17"/>
          <w:szCs w:val="17"/>
          <w:color w:val="auto"/>
        </w:rPr>
        <w:t>Being subject to any order, judgment or decree, not subsequently reversed, suspended or vacated, of any Federal or State authority barring, suspending or otherwise limiting for more than 60 days the right of such person to engage in any type of business regulated by the Commodity Futures Trading Commission, securities, investment, insurance or banking activities, or to be associated with persons engaged in any such activity;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6" w:name="page47"/>
    <w:bookmarkEnd w:id="46"/>
    <w:p>
      <w:pPr>
        <w:ind w:firstLine="8"/>
        <w:spacing w:after="0" w:line="277" w:lineRule="auto"/>
        <w:tabs>
          <w:tab w:leader="none" w:pos="189"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SEC to have violated any Federal or State securities law, and the judgment in such civil action or finding by the Commission has not been subsequently reversed, suspended, or vacated;</w:t>
      </w:r>
    </w:p>
    <w:p>
      <w:pPr>
        <w:spacing w:after="0" w:line="170" w:lineRule="exact"/>
        <w:rPr>
          <w:rFonts w:ascii="Arial" w:cs="Arial" w:eastAsia="Arial" w:hAnsi="Arial"/>
          <w:sz w:val="18"/>
          <w:szCs w:val="18"/>
          <w:color w:val="auto"/>
        </w:rPr>
      </w:pPr>
    </w:p>
    <w:p>
      <w:pPr>
        <w:jc w:val="both"/>
        <w:ind w:firstLine="8"/>
        <w:spacing w:after="0" w:line="264" w:lineRule="auto"/>
        <w:tabs>
          <w:tab w:leader="none" w:pos="21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Being found by a court of competent jurisdiction in a civil action or by the Commodity Futures Trading Commission to have violated any Federal commodities law, and the judgment in such civil action or finding by the Commodity Futures Trading Commission has not been subsequently reversed, suspended or vacated;</w:t>
      </w:r>
    </w:p>
    <w:p>
      <w:pPr>
        <w:spacing w:after="0" w:line="181" w:lineRule="exact"/>
        <w:rPr>
          <w:rFonts w:ascii="Arial" w:cs="Arial" w:eastAsia="Arial" w:hAnsi="Arial"/>
          <w:sz w:val="18"/>
          <w:szCs w:val="18"/>
          <w:color w:val="auto"/>
        </w:rPr>
      </w:pPr>
    </w:p>
    <w:p>
      <w:pPr>
        <w:ind w:firstLine="8"/>
        <w:spacing w:after="0" w:line="277" w:lineRule="auto"/>
        <w:tabs>
          <w:tab w:leader="none" w:pos="187"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Being subject to, or a party to, any Federal or State judicial or administrative order, judgment, decree, or finding, not subsequently reversed, suspended or vacated, relating to an alleged violation 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 Any Federal or State securities or commodities law or regulation; or</w:t>
      </w:r>
    </w:p>
    <w:p>
      <w:pPr>
        <w:spacing w:after="0" w:line="225" w:lineRule="exact"/>
        <w:rPr>
          <w:sz w:val="20"/>
          <w:szCs w:val="20"/>
          <w:color w:val="auto"/>
        </w:rPr>
      </w:pPr>
    </w:p>
    <w:p>
      <w:pPr>
        <w:ind w:firstLine="8"/>
        <w:spacing w:after="0" w:line="308" w:lineRule="auto"/>
        <w:tabs>
          <w:tab w:leader="none" w:pos="186" w:val="left"/>
        </w:tabs>
        <w:numPr>
          <w:ilvl w:val="0"/>
          <w:numId w:val="24"/>
        </w:numPr>
        <w:rPr>
          <w:rFonts w:ascii="Arial" w:cs="Arial" w:eastAsia="Arial" w:hAnsi="Arial"/>
          <w:sz w:val="17"/>
          <w:szCs w:val="17"/>
          <w:color w:val="auto"/>
        </w:rPr>
      </w:pPr>
      <w:r>
        <w:rPr>
          <w:rFonts w:ascii="Arial" w:cs="Arial" w:eastAsia="Arial" w:hAnsi="Arial"/>
          <w:sz w:val="17"/>
          <w:szCs w:val="17"/>
          <w:color w:val="auto"/>
        </w:rPr>
        <w:t>Any law or regulation respecting financial institutions or insurance companies including, but not limited to, a temporary or permanent injunction, order of disgorgement or restitution, civil money penalty or temporary or permanent cease-and-desist order, or removal or prohibition order; or</w:t>
      </w:r>
    </w:p>
    <w:p>
      <w:pPr>
        <w:spacing w:after="0" w:line="146" w:lineRule="exact"/>
        <w:rPr>
          <w:rFonts w:ascii="Arial" w:cs="Arial" w:eastAsia="Arial" w:hAnsi="Arial"/>
          <w:sz w:val="17"/>
          <w:szCs w:val="17"/>
          <w:color w:val="auto"/>
        </w:rPr>
      </w:pPr>
    </w:p>
    <w:p>
      <w:pPr>
        <w:ind w:left="240" w:hanging="232"/>
        <w:spacing w:after="0"/>
        <w:tabs>
          <w:tab w:leader="none" w:pos="2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Any law or regulation prohibiting mail or wire fraud or fraud in connection with any business entity; or</w:t>
      </w:r>
    </w:p>
    <w:p>
      <w:pPr>
        <w:spacing w:after="0" w:line="225" w:lineRule="exact"/>
        <w:rPr>
          <w:sz w:val="20"/>
          <w:szCs w:val="20"/>
          <w:color w:val="auto"/>
        </w:rPr>
      </w:pPr>
    </w:p>
    <w:p>
      <w:pPr>
        <w:jc w:val="both"/>
        <w:ind w:firstLine="8"/>
        <w:spacing w:after="0" w:line="259" w:lineRule="auto"/>
        <w:tabs>
          <w:tab w:leader="none" w:pos="192"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Being subject to, or a party to, any sanction or order, not subsequently reversed, suspended or vacated, of any self-regulatory organization (as defined in Section 3(a)(26) of the Exchange Act (15 U.S.C. 78c(a)(26))), any registered entity (as defined in Section 1(a)(29) of the Commodity Exchange Act (7 U.S.C. 1(a)(29))), or any equivalent exchange, association, entity or organization that has disciplinary authority over its members or persons associated with a member.</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reviews the independence of our directors on the basis of standards adopted by the NASDAQ Stock Market (“NASDAQ”). As a part of this review, the Board of Directors considers transactions and relationships between our company, on the one hand, and each director, members of the director’s immediate family, and other entities with which the director is affiliated, on the other hand. The purpose of such a review is to determine which, if any, of such transactions or relationships were inconsistent with a determination that the director is independent under NASDAQ rules. As a result of this review, the Board of Directors has determined that each of our directors other than Mr. Febbo is an “independent director” within the meaning of applicable NASDAQ listing standards.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Board of Directors has two standing committees to facilitate and assist the Board of Directors in the execution of its responsibilities: (1) Nominating and Governance Committee; and (2) Compensation Committee. Each committee acts pursuant to a written charter adopted by the Board of Directors. Each committee’s charter is available on our corporate website at http://www.optimizerx.com. (The information contained in our website is not incorporated into this Annual Report on Form 10-K.) All of the committees are comprised solely of non-employee, independent directors as defined by NASDAQ market listing standards.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Nominating and Governance Committee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of Directors has established a Nominating and Governance Committee. The Committee is composed of Directors, Halas, Pinney, and Vos, and is chaired by Director Halas. The Nominating and Corporate Governance Committee held 4 meetings during the fiscal year ended December 31, 2017. The Nominating and Corporate Governance Committee’s responsibilities, which are discussed in detail in its charter, include the responsibility to:</w:t>
      </w:r>
    </w:p>
    <w:p>
      <w:pPr>
        <w:spacing w:after="0" w:line="166" w:lineRule="exact"/>
        <w:rPr>
          <w:sz w:val="20"/>
          <w:szCs w:val="20"/>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qualifications and criteria for selecting and evaluating directors and nominees;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Consider and propose director nominees;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recommendations to the Board regarding Board compensation;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Make recommendations to the Board regarding Board committee memberships;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Develop and recommend to the Board corporate governance guidelines;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Facilitate an annual assessment of the performance of the Board and each of its standing committees;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Consider the independence of each director and nominee for director;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Perform other functions or duties deemed appropriate by the Board.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Board of Directors has established a Compensation Committee. The Compensation Committee held 5 meetings during the fiscal year ended December 31, 2017, and held other informal discussions as needed. The Committee is composed of Directors, Halas, Pinney, and Lang, and is chaired by Director Lang. The Compensation Committee’s responsibilities, which are discussed in detail in its charter, include the responsibility to:</w:t>
      </w:r>
    </w:p>
    <w:p>
      <w:pPr>
        <w:spacing w:after="0" w:line="166" w:lineRule="exact"/>
        <w:rPr>
          <w:sz w:val="20"/>
          <w:szCs w:val="20"/>
          <w:color w:val="auto"/>
        </w:rPr>
      </w:pPr>
    </w:p>
    <w:p>
      <w:pPr>
        <w:ind w:left="66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 consultation with our senior management, establish our general compensation philosophy and oversee the development and implementation of our compensation programs;</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Recommend the base salary, incentive compensation and any other compensation for our Chief Executive Officer to the Board of Directors and review and approve the Chief Executive Officer’s recommendations for the compensation of all other officers of our company and its subsidiary;</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Administer our incentive and stock-based compensation plans, and discharge the duties imposed on the Compensation Committee by the terms of those plans;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Review and approve any severance or termination payments proposed to be made to any current or former officer of our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Perform other functions or duties deemed appropriate by the Board of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present, we do not have a separately-designated standing audit committee, but we expect to establish one in 2018. The entire board of directors performs the functions of an audit committee, but no written charter governs the actions of the board of directors when performing the functions of that would generally be performed by an audit committee. The board of directors approves the selection of our independent accountants and meets and interacts with the independent accountants to discuss issues related to financial reporting. In addition, the board of directors reviews the scope and results of the audit with the independent accountants, reviews with management and the independent accountants our annual operating results, considers the adequacy of our internal accounting procedures and considers other auditing and accounting matters including fees to be paid to the independent auditor and the performance of the independent auditor.</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For the fiscal year ending December 31, 2017, the board of directors:</w:t>
      </w:r>
    </w:p>
    <w:p>
      <w:pPr>
        <w:spacing w:after="0" w:line="225"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Reviewed and discussed the audited financial statements with management,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Reviewed and discussed the written disclosures and the letter from our independent auditors on the matters relating to the auditor's independence.</w:t>
      </w:r>
    </w:p>
    <w:p>
      <w:pPr>
        <w:spacing w:after="0" w:line="248"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Based upon the board of directors’ review and discussion of the matters above, the board of directors authorized inclusion of the audited financial statements for the year ended December 31, 2017 to be included in this Annual Report on Form 10-K and filed with the Securities and Exchange Commission.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Section 16(a) of the Exchange Act requires our directors and executive officers and persons who beneficially own more than ten percent of a registered class of the Company’s equity securities to file with the SEC initial reports of ownership and reports of changes in ownership of common stock and other equity securities of the Company. Officers, directors and greater than ten percent beneficial shareholders are required by SEC regulations to furnish us with copies of all Section 16(a) forms they file. To the best of our knowledge based solely on a review of Forms 3, 4, and 5 (and any amendments thereof) received by us, no persons have failed to file, on a timely basis, the identified reports required by Section 16(a) of the Exchange Act during fiscal year ended December 31, 2017, other than as set forth in the following information. Director Halas filed a Form 4 two days late. Director Lang filed his Form 3 late and filed a Form 4 two days late on April 6, 2017. Director Vos filed a Form 4 on May 31, 2017 covering 21 transactions that occurred from February 6, 2017 through May 3, 2017. Our President, Miriam Paramore, filed a Form 4 a week late.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October 2017, the Board of Directors adopted a Code of Ethics for the Company, which is attached to this Annual Report on Form 10-K as Exhibit 14.1.</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11. Executive Compensation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2017 and 2016.</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color w:val="auto"/>
                <w:w w:val="88"/>
              </w:rPr>
              <w:t>Stock</w:t>
            </w:r>
          </w:p>
        </w:tc>
        <w:tc>
          <w:tcPr>
            <w:tcW w:w="134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Option</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All Other</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20" w:type="dxa"/>
            <w:vAlign w:val="bottom"/>
            <w:gridSpan w:val="2"/>
          </w:tcPr>
          <w:p>
            <w:pPr>
              <w:spacing w:after="0"/>
              <w:rPr>
                <w:sz w:val="20"/>
                <w:szCs w:val="20"/>
                <w:color w:val="auto"/>
              </w:rPr>
            </w:pPr>
            <w:r>
              <w:rPr>
                <w:rFonts w:ascii="Arial" w:cs="Arial" w:eastAsia="Arial" w:hAnsi="Arial"/>
                <w:sz w:val="18"/>
                <w:szCs w:val="18"/>
                <w:color w:val="auto"/>
                <w:w w:val="96"/>
              </w:rPr>
              <w:t>Name and principal</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Salary</w:t>
            </w: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Bonus</w:t>
            </w: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Awards</w:t>
            </w:r>
          </w:p>
        </w:tc>
        <w:tc>
          <w:tcPr>
            <w:tcW w:w="1340" w:type="dxa"/>
            <w:vAlign w:val="bottom"/>
            <w:gridSpan w:val="2"/>
          </w:tcPr>
          <w:p>
            <w:pPr>
              <w:jc w:val="center"/>
              <w:ind w:right="260"/>
              <w:spacing w:after="0"/>
              <w:rPr>
                <w:sz w:val="20"/>
                <w:szCs w:val="20"/>
                <w:color w:val="auto"/>
              </w:rPr>
            </w:pPr>
            <w:r>
              <w:rPr>
                <w:rFonts w:ascii="Arial" w:cs="Arial" w:eastAsia="Arial" w:hAnsi="Arial"/>
                <w:sz w:val="18"/>
                <w:szCs w:val="18"/>
                <w:color w:val="auto"/>
                <w:w w:val="93"/>
              </w:rPr>
              <w:t>Awards</w:t>
            </w: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color w:val="auto"/>
                <w:w w:val="89"/>
              </w:rPr>
              <w:t>Compensation</w:t>
            </w:r>
          </w:p>
        </w:tc>
        <w:tc>
          <w:tcPr>
            <w:tcW w:w="12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1520" w:type="dxa"/>
            <w:vAlign w:val="bottom"/>
            <w:gridSpan w:val="2"/>
          </w:tcPr>
          <w:p>
            <w:pPr>
              <w:spacing w:after="0"/>
              <w:rPr>
                <w:sz w:val="20"/>
                <w:szCs w:val="20"/>
                <w:color w:val="auto"/>
              </w:rPr>
            </w:pPr>
            <w:r>
              <w:rPr>
                <w:rFonts w:ascii="Arial" w:cs="Arial" w:eastAsia="Arial" w:hAnsi="Arial"/>
                <w:sz w:val="18"/>
                <w:szCs w:val="18"/>
                <w:color w:val="auto"/>
              </w:rPr>
              <w:t>position</w:t>
            </w:r>
          </w:p>
        </w:tc>
        <w:tc>
          <w:tcPr>
            <w:tcW w:w="120" w:type="dxa"/>
            <w:vAlign w:val="bottom"/>
          </w:tcPr>
          <w:p>
            <w:pPr>
              <w:spacing w:after="0"/>
              <w:rPr>
                <w:sz w:val="20"/>
                <w:szCs w:val="20"/>
                <w:color w:val="auto"/>
              </w:rPr>
            </w:pPr>
          </w:p>
        </w:tc>
        <w:tc>
          <w:tcPr>
            <w:tcW w:w="1460" w:type="dxa"/>
            <w:vAlign w:val="bottom"/>
            <w:gridSpan w:val="2"/>
          </w:tcPr>
          <w:p>
            <w:pPr>
              <w:ind w:left="460"/>
              <w:spacing w:after="0"/>
              <w:rPr>
                <w:sz w:val="20"/>
                <w:szCs w:val="20"/>
                <w:color w:val="auto"/>
              </w:rPr>
            </w:pPr>
            <w:r>
              <w:rPr>
                <w:rFonts w:ascii="Arial" w:cs="Arial" w:eastAsia="Arial" w:hAnsi="Arial"/>
                <w:sz w:val="18"/>
                <w:szCs w:val="18"/>
                <w:color w:val="auto"/>
              </w:rPr>
              <w:t>Year</w:t>
            </w: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240" w:type="dxa"/>
            <w:vAlign w:val="bottom"/>
          </w:tcPr>
          <w:p>
            <w:pPr>
              <w:jc w:val="right"/>
              <w:ind w:right="4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1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20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92"/>
              </w:rPr>
              <w:t>($) (1)(2)</w:t>
            </w:r>
          </w:p>
        </w:tc>
        <w:tc>
          <w:tcPr>
            <w:tcW w:w="120" w:type="dxa"/>
            <w:vAlign w:val="bottom"/>
          </w:tcPr>
          <w:p>
            <w:pPr>
              <w:spacing w:after="0"/>
              <w:rPr>
                <w:sz w:val="20"/>
                <w:szCs w:val="20"/>
                <w:color w:val="auto"/>
              </w:rPr>
            </w:pPr>
          </w:p>
        </w:tc>
        <w:tc>
          <w:tcPr>
            <w:tcW w:w="114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500" w:type="dxa"/>
            <w:vAlign w:val="bottom"/>
            <w:tcBorders>
              <w:top w:val="single" w:sz="8" w:color="auto"/>
            </w:tcBorders>
            <w:shd w:val="clear" w:color="auto" w:fill="CCEEFF"/>
          </w:tcPr>
          <w:p>
            <w:pPr>
              <w:spacing w:after="0" w:line="201" w:lineRule="exact"/>
              <w:rPr>
                <w:sz w:val="20"/>
                <w:szCs w:val="20"/>
                <w:color w:val="auto"/>
              </w:rPr>
            </w:pPr>
            <w:r>
              <w:rPr>
                <w:rFonts w:ascii="Arial" w:cs="Arial" w:eastAsia="Arial" w:hAnsi="Arial"/>
                <w:sz w:val="18"/>
                <w:szCs w:val="18"/>
                <w:color w:val="auto"/>
              </w:rPr>
              <w:t>William J. Febbo</w:t>
            </w:r>
          </w:p>
        </w:tc>
        <w:tc>
          <w:tcPr>
            <w:tcW w:w="1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290"/>
              <w:spacing w:after="0" w:line="201" w:lineRule="exact"/>
              <w:rPr>
                <w:sz w:val="20"/>
                <w:szCs w:val="20"/>
                <w:color w:val="auto"/>
              </w:rPr>
            </w:pPr>
            <w:r>
              <w:rPr>
                <w:rFonts w:ascii="Arial" w:cs="Arial" w:eastAsia="Arial" w:hAnsi="Arial"/>
                <w:sz w:val="18"/>
                <w:szCs w:val="18"/>
                <w:color w:val="auto"/>
              </w:rPr>
              <w:t>2017</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250,000</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156,937</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13,350</w:t>
            </w:r>
          </w:p>
        </w:tc>
        <w:tc>
          <w:tcPr>
            <w:tcW w:w="12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jc w:val="right"/>
              <w:spacing w:after="0" w:line="201" w:lineRule="exact"/>
              <w:rPr>
                <w:sz w:val="20"/>
                <w:szCs w:val="20"/>
                <w:color w:val="auto"/>
              </w:rPr>
            </w:pPr>
            <w:r>
              <w:rPr>
                <w:rFonts w:ascii="Arial" w:cs="Arial" w:eastAsia="Arial" w:hAnsi="Arial"/>
                <w:sz w:val="18"/>
                <w:szCs w:val="18"/>
                <w:color w:val="auto"/>
              </w:rPr>
              <w:t>420,287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CEO, Director</w:t>
            </w:r>
          </w:p>
        </w:tc>
        <w:tc>
          <w:tcPr>
            <w:tcW w:w="13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188,833</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83,742</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993,825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4,400</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1,270,800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00" w:type="dxa"/>
            <w:vAlign w:val="bottom"/>
          </w:tcPr>
          <w:p>
            <w:pPr>
              <w:spacing w:after="0" w:line="201" w:lineRule="exact"/>
              <w:rPr>
                <w:sz w:val="20"/>
                <w:szCs w:val="20"/>
                <w:color w:val="auto"/>
              </w:rPr>
            </w:pPr>
            <w:r>
              <w:rPr>
                <w:rFonts w:ascii="Arial" w:cs="Arial" w:eastAsia="Arial" w:hAnsi="Arial"/>
                <w:sz w:val="18"/>
                <w:szCs w:val="18"/>
                <w:color w:val="auto"/>
              </w:rPr>
              <w:t>Miriam Paramore</w:t>
            </w:r>
          </w:p>
        </w:tc>
        <w:tc>
          <w:tcPr>
            <w:tcW w:w="1360" w:type="dxa"/>
            <w:vAlign w:val="bottom"/>
            <w:gridSpan w:val="2"/>
          </w:tcPr>
          <w:p>
            <w:pPr>
              <w:jc w:val="right"/>
              <w:ind w:right="290"/>
              <w:spacing w:after="0" w:line="201" w:lineRule="exact"/>
              <w:rPr>
                <w:sz w:val="20"/>
                <w:szCs w:val="20"/>
                <w:color w:val="auto"/>
              </w:rPr>
            </w:pPr>
            <w:r>
              <w:rPr>
                <w:rFonts w:ascii="Arial" w:cs="Arial" w:eastAsia="Arial" w:hAnsi="Arial"/>
                <w:sz w:val="18"/>
                <w:szCs w:val="18"/>
                <w:color w:val="auto"/>
              </w:rPr>
              <w:t>2017</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91,667</w:t>
            </w:r>
          </w:p>
        </w:tc>
        <w:tc>
          <w:tcPr>
            <w:tcW w:w="14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46,036</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329,950</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24,786</w:t>
            </w:r>
          </w:p>
        </w:tc>
        <w:tc>
          <w:tcPr>
            <w:tcW w:w="120" w:type="dxa"/>
            <w:vAlign w:val="bottom"/>
          </w:tcPr>
          <w:p>
            <w:pPr>
              <w:spacing w:after="0"/>
              <w:rPr>
                <w:sz w:val="17"/>
                <w:szCs w:val="17"/>
                <w:color w:val="auto"/>
              </w:rPr>
            </w:pP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492,439</w:t>
            </w:r>
          </w:p>
        </w:tc>
        <w:tc>
          <w:tcPr>
            <w:tcW w:w="0" w:type="dxa"/>
            <w:vAlign w:val="bottom"/>
          </w:tcPr>
          <w:p>
            <w:pPr>
              <w:spacing w:after="0"/>
              <w:rPr>
                <w:sz w:val="1"/>
                <w:szCs w:val="1"/>
                <w:color w:val="auto"/>
              </w:rPr>
            </w:pPr>
          </w:p>
        </w:tc>
      </w:tr>
      <w:tr>
        <w:trPr>
          <w:trHeight w:val="230"/>
        </w:trPr>
        <w:tc>
          <w:tcPr>
            <w:tcW w:w="1520" w:type="dxa"/>
            <w:vAlign w:val="bottom"/>
            <w:gridSpan w:val="2"/>
          </w:tcPr>
          <w:p>
            <w:pPr>
              <w:spacing w:after="0"/>
              <w:rPr>
                <w:sz w:val="20"/>
                <w:szCs w:val="20"/>
                <w:color w:val="auto"/>
              </w:rPr>
            </w:pPr>
            <w:r>
              <w:rPr>
                <w:rFonts w:ascii="Arial" w:cs="Arial" w:eastAsia="Arial" w:hAnsi="Arial"/>
                <w:sz w:val="18"/>
                <w:szCs w:val="18"/>
                <w:i w:val="1"/>
                <w:iCs w:val="1"/>
                <w:color w:val="auto"/>
              </w:rPr>
              <w:t>President</w:t>
            </w:r>
          </w:p>
        </w:tc>
        <w:tc>
          <w:tcPr>
            <w:tcW w:w="1360" w:type="dxa"/>
            <w:vAlign w:val="bottom"/>
            <w:gridSpan w:val="2"/>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N/A</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360" w:type="dxa"/>
            <w:vAlign w:val="bottom"/>
            <w:gridSpan w:val="2"/>
          </w:tcPr>
          <w:p>
            <w:pPr>
              <w:ind w:left="940"/>
              <w:spacing w:after="0"/>
              <w:rPr>
                <w:sz w:val="20"/>
                <w:szCs w:val="20"/>
                <w:color w:val="auto"/>
              </w:rPr>
            </w:pPr>
            <w:r>
              <w:rPr>
                <w:rFonts w:ascii="Arial" w:cs="Arial" w:eastAsia="Arial" w:hAnsi="Arial"/>
                <w:sz w:val="18"/>
                <w:szCs w:val="18"/>
                <w:color w:val="auto"/>
              </w:rPr>
              <w:t>N/A</w:t>
            </w:r>
          </w:p>
        </w:tc>
        <w:tc>
          <w:tcPr>
            <w:tcW w:w="124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Terence J. Hamilton</w:t>
            </w:r>
          </w:p>
        </w:tc>
        <w:tc>
          <w:tcPr>
            <w:tcW w:w="1360" w:type="dxa"/>
            <w:vAlign w:val="bottom"/>
            <w:gridSpan w:val="2"/>
            <w:shd w:val="clear" w:color="auto" w:fill="CCEEFF"/>
          </w:tcPr>
          <w:p>
            <w:pPr>
              <w:jc w:val="right"/>
              <w:ind w:right="290"/>
              <w:spacing w:after="0" w:line="201" w:lineRule="exact"/>
              <w:rPr>
                <w:sz w:val="20"/>
                <w:szCs w:val="20"/>
                <w:color w:val="auto"/>
              </w:rPr>
            </w:pPr>
            <w:r>
              <w:rPr>
                <w:rFonts w:ascii="Arial" w:cs="Arial" w:eastAsia="Arial" w:hAnsi="Arial"/>
                <w:sz w:val="18"/>
                <w:szCs w:val="18"/>
                <w:color w:val="auto"/>
              </w:rPr>
              <w:t>2017</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200,000</w:t>
            </w:r>
          </w:p>
        </w:tc>
        <w:tc>
          <w:tcPr>
            <w:tcW w:w="22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jc w:val="right"/>
              <w:ind w:right="220"/>
              <w:spacing w:after="0" w:line="201" w:lineRule="exact"/>
              <w:rPr>
                <w:sz w:val="20"/>
                <w:szCs w:val="20"/>
                <w:color w:val="auto"/>
              </w:rPr>
            </w:pPr>
            <w:r>
              <w:rPr>
                <w:rFonts w:ascii="Arial" w:cs="Arial" w:eastAsia="Arial" w:hAnsi="Arial"/>
                <w:sz w:val="18"/>
                <w:szCs w:val="18"/>
                <w:color w:val="auto"/>
              </w:rPr>
              <w:t>100,440</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00"/>
              <w:spacing w:after="0" w:line="201" w:lineRule="exact"/>
              <w:rPr>
                <w:sz w:val="20"/>
                <w:szCs w:val="20"/>
                <w:color w:val="auto"/>
              </w:rPr>
            </w:pPr>
            <w:r>
              <w:rPr>
                <w:rFonts w:ascii="Arial" w:cs="Arial" w:eastAsia="Arial" w:hAnsi="Arial"/>
                <w:sz w:val="18"/>
                <w:szCs w:val="18"/>
                <w:color w:val="auto"/>
              </w:rPr>
              <w:t>89,380</w:t>
            </w:r>
          </w:p>
        </w:tc>
        <w:tc>
          <w:tcPr>
            <w:tcW w:w="124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10,412</w:t>
            </w:r>
          </w:p>
        </w:tc>
        <w:tc>
          <w:tcPr>
            <w:tcW w:w="12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00"/>
              <w:spacing w:after="0" w:line="201" w:lineRule="exact"/>
              <w:rPr>
                <w:sz w:val="20"/>
                <w:szCs w:val="20"/>
                <w:color w:val="auto"/>
              </w:rPr>
            </w:pPr>
            <w:r>
              <w:rPr>
                <w:rFonts w:ascii="Arial" w:cs="Arial" w:eastAsia="Arial" w:hAnsi="Arial"/>
                <w:sz w:val="18"/>
                <w:szCs w:val="18"/>
                <w:color w:val="auto"/>
              </w:rPr>
              <w:t>400,232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50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SVP of Sales</w:t>
            </w:r>
          </w:p>
        </w:tc>
        <w:tc>
          <w:tcPr>
            <w:tcW w:w="1360" w:type="dxa"/>
            <w:vAlign w:val="bottom"/>
            <w:gridSpan w:val="2"/>
            <w:shd w:val="clear" w:color="auto" w:fill="CCEEFF"/>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180,125</w:t>
            </w:r>
          </w:p>
        </w:tc>
        <w:tc>
          <w:tcPr>
            <w:tcW w:w="22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60,294</w:t>
            </w:r>
          </w:p>
        </w:tc>
        <w:tc>
          <w:tcPr>
            <w:tcW w:w="12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154,684</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7,205</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402,308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500" w:type="dxa"/>
            <w:vAlign w:val="bottom"/>
          </w:tcPr>
          <w:p>
            <w:pPr>
              <w:spacing w:after="0" w:line="201" w:lineRule="exact"/>
              <w:rPr>
                <w:sz w:val="20"/>
                <w:szCs w:val="20"/>
                <w:color w:val="auto"/>
              </w:rPr>
            </w:pPr>
            <w:r>
              <w:rPr>
                <w:rFonts w:ascii="Arial" w:cs="Arial" w:eastAsia="Arial" w:hAnsi="Arial"/>
                <w:sz w:val="18"/>
                <w:szCs w:val="18"/>
                <w:color w:val="auto"/>
              </w:rPr>
              <w:t>Douglas P. Baker</w:t>
            </w:r>
          </w:p>
        </w:tc>
        <w:tc>
          <w:tcPr>
            <w:tcW w:w="1360" w:type="dxa"/>
            <w:vAlign w:val="bottom"/>
            <w:gridSpan w:val="2"/>
          </w:tcPr>
          <w:p>
            <w:pPr>
              <w:jc w:val="right"/>
              <w:ind w:right="290"/>
              <w:spacing w:after="0" w:line="201" w:lineRule="exact"/>
              <w:rPr>
                <w:sz w:val="20"/>
                <w:szCs w:val="20"/>
                <w:color w:val="auto"/>
              </w:rPr>
            </w:pPr>
            <w:r>
              <w:rPr>
                <w:rFonts w:ascii="Arial" w:cs="Arial" w:eastAsia="Arial" w:hAnsi="Arial"/>
                <w:sz w:val="18"/>
                <w:szCs w:val="18"/>
                <w:color w:val="auto"/>
              </w:rPr>
              <w:t>2017</w:t>
            </w:r>
          </w:p>
        </w:tc>
        <w:tc>
          <w:tcPr>
            <w:tcW w:w="220" w:type="dxa"/>
            <w:vAlign w:val="bottom"/>
          </w:tcPr>
          <w:p>
            <w:pPr>
              <w:spacing w:after="0"/>
              <w:rPr>
                <w:sz w:val="17"/>
                <w:szCs w:val="17"/>
                <w:color w:val="auto"/>
              </w:rPr>
            </w:pP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200,000</w:t>
            </w:r>
          </w:p>
        </w:tc>
        <w:tc>
          <w:tcPr>
            <w:tcW w:w="220" w:type="dxa"/>
            <w:vAlign w:val="bottom"/>
          </w:tcPr>
          <w:p>
            <w:pPr>
              <w:spacing w:after="0"/>
              <w:rPr>
                <w:sz w:val="17"/>
                <w:szCs w:val="17"/>
                <w:color w:val="auto"/>
              </w:rPr>
            </w:pPr>
          </w:p>
        </w:tc>
        <w:tc>
          <w:tcPr>
            <w:tcW w:w="1460" w:type="dxa"/>
            <w:vAlign w:val="bottom"/>
            <w:gridSpan w:val="2"/>
          </w:tcPr>
          <w:p>
            <w:pPr>
              <w:jc w:val="right"/>
              <w:ind w:right="220"/>
              <w:spacing w:after="0" w:line="201" w:lineRule="exact"/>
              <w:rPr>
                <w:sz w:val="20"/>
                <w:szCs w:val="20"/>
                <w:color w:val="auto"/>
              </w:rPr>
            </w:pPr>
            <w:r>
              <w:rPr>
                <w:rFonts w:ascii="Arial" w:cs="Arial" w:eastAsia="Arial" w:hAnsi="Arial"/>
                <w:sz w:val="18"/>
                <w:szCs w:val="18"/>
                <w:color w:val="auto"/>
              </w:rPr>
              <w:t>95,330</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134,070</w:t>
            </w:r>
          </w:p>
        </w:tc>
        <w:tc>
          <w:tcPr>
            <w:tcW w:w="1240" w:type="dxa"/>
            <w:vAlign w:val="bottom"/>
          </w:tcPr>
          <w:p>
            <w:pPr>
              <w:jc w:val="right"/>
              <w:spacing w:after="0" w:line="201" w:lineRule="exact"/>
              <w:rPr>
                <w:sz w:val="20"/>
                <w:szCs w:val="20"/>
                <w:color w:val="auto"/>
              </w:rPr>
            </w:pPr>
            <w:r>
              <w:rPr>
                <w:rFonts w:ascii="Arial" w:cs="Arial" w:eastAsia="Arial" w:hAnsi="Arial"/>
                <w:sz w:val="18"/>
                <w:szCs w:val="18"/>
                <w:color w:val="auto"/>
              </w:rPr>
              <w:t>9,794</w:t>
            </w:r>
          </w:p>
        </w:tc>
        <w:tc>
          <w:tcPr>
            <w:tcW w:w="120" w:type="dxa"/>
            <w:vAlign w:val="bottom"/>
          </w:tcPr>
          <w:p>
            <w:pPr>
              <w:spacing w:after="0"/>
              <w:rPr>
                <w:sz w:val="17"/>
                <w:szCs w:val="17"/>
                <w:color w:val="auto"/>
              </w:rPr>
            </w:pPr>
          </w:p>
        </w:tc>
        <w:tc>
          <w:tcPr>
            <w:tcW w:w="1240" w:type="dxa"/>
            <w:vAlign w:val="bottom"/>
            <w:gridSpan w:val="2"/>
          </w:tcPr>
          <w:p>
            <w:pPr>
              <w:jc w:val="right"/>
              <w:ind w:right="100"/>
              <w:spacing w:after="0" w:line="201" w:lineRule="exact"/>
              <w:rPr>
                <w:sz w:val="20"/>
                <w:szCs w:val="20"/>
                <w:color w:val="auto"/>
              </w:rPr>
            </w:pPr>
            <w:r>
              <w:rPr>
                <w:rFonts w:ascii="Arial" w:cs="Arial" w:eastAsia="Arial" w:hAnsi="Arial"/>
                <w:sz w:val="18"/>
                <w:szCs w:val="18"/>
                <w:color w:val="auto"/>
              </w:rPr>
              <w:t>439,194</w:t>
            </w:r>
          </w:p>
        </w:tc>
        <w:tc>
          <w:tcPr>
            <w:tcW w:w="0" w:type="dxa"/>
            <w:vAlign w:val="bottom"/>
          </w:tcPr>
          <w:p>
            <w:pPr>
              <w:spacing w:after="0"/>
              <w:rPr>
                <w:sz w:val="1"/>
                <w:szCs w:val="1"/>
                <w:color w:val="auto"/>
              </w:rPr>
            </w:pPr>
          </w:p>
        </w:tc>
      </w:tr>
      <w:tr>
        <w:trPr>
          <w:trHeight w:val="230"/>
        </w:trPr>
        <w:tc>
          <w:tcPr>
            <w:tcW w:w="1520" w:type="dxa"/>
            <w:vAlign w:val="bottom"/>
            <w:gridSpan w:val="2"/>
          </w:tcPr>
          <w:p>
            <w:pPr>
              <w:spacing w:after="0"/>
              <w:rPr>
                <w:sz w:val="20"/>
                <w:szCs w:val="20"/>
                <w:color w:val="auto"/>
              </w:rPr>
            </w:pPr>
            <w:r>
              <w:rPr>
                <w:rFonts w:ascii="Arial" w:cs="Arial" w:eastAsia="Arial" w:hAnsi="Arial"/>
                <w:sz w:val="18"/>
                <w:szCs w:val="18"/>
                <w:i w:val="1"/>
                <w:iCs w:val="1"/>
                <w:color w:val="auto"/>
              </w:rPr>
              <w:t>CFO</w:t>
            </w:r>
          </w:p>
        </w:tc>
        <w:tc>
          <w:tcPr>
            <w:tcW w:w="1360" w:type="dxa"/>
            <w:vAlign w:val="bottom"/>
            <w:gridSpan w:val="2"/>
          </w:tcPr>
          <w:p>
            <w:pPr>
              <w:jc w:val="right"/>
              <w:ind w:right="290"/>
              <w:spacing w:after="0"/>
              <w:rPr>
                <w:sz w:val="20"/>
                <w:szCs w:val="20"/>
                <w:color w:val="auto"/>
              </w:rPr>
            </w:pPr>
            <w:r>
              <w:rPr>
                <w:rFonts w:ascii="Arial" w:cs="Arial" w:eastAsia="Arial" w:hAnsi="Arial"/>
                <w:sz w:val="18"/>
                <w:szCs w:val="18"/>
                <w:color w:val="auto"/>
              </w:rPr>
              <w:t>2016</w:t>
            </w:r>
          </w:p>
        </w:tc>
        <w:tc>
          <w:tcPr>
            <w:tcW w:w="2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172,500</w:t>
            </w:r>
          </w:p>
        </w:tc>
        <w:tc>
          <w:tcPr>
            <w:tcW w:w="220" w:type="dxa"/>
            <w:vAlign w:val="bottom"/>
          </w:tcPr>
          <w:p>
            <w:pPr>
              <w:spacing w:after="0"/>
              <w:rPr>
                <w:sz w:val="20"/>
                <w:szCs w:val="20"/>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44,847</w:t>
            </w: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6,900</w:t>
            </w:r>
          </w:p>
        </w:tc>
        <w:tc>
          <w:tcPr>
            <w:tcW w:w="1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224,247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-1937385</wp:posOffset>
            </wp:positionV>
            <wp:extent cx="7246620" cy="1938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93802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ind w:left="340" w:hanging="332"/>
        <w:spacing w:after="0" w:line="258"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Amounts reflected in All Other Compensation column for Febbo, Hamilton, and Baker represent employer matching contributions to the Company’s retirement plan, on the same basis as for all employees.</w:t>
      </w:r>
    </w:p>
    <w:p>
      <w:pPr>
        <w:spacing w:after="0" w:line="1"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Amount reflected in All Other Compensation for Ms. Paramore reflects $2,200 of employer matching contributions to the Company’s retirement plan and $22,586 paid to her as a consultant prior to her starting employment for the Company</w:t>
      </w:r>
    </w:p>
    <w:p>
      <w:pPr>
        <w:spacing w:after="0" w:line="18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Mr. Febbo joined the Company as CEO on February 22, 2016. His employment contract called for an initial annual base salary of $220,000. In addition, he is eligible to participate in the Company’s executive bonus plan with a target bonus of 50% of his annual salary. He is also eligible for vacation, sick days, insurance, to participate in the Company’s 401k plan, and other benefits covering all employees. In March 2017, Mr. Febbo’s annual salary was adjusted to $250,000 per year, retroactive to January 1, 2017 by the compensation committee of the Board of Directors. No formal contract amendment was signed. Under the terms of his contract, the Company also granted to Mr. Febbo an option to purchase 1,500,000 shares of common stock, exercisable at a price of $1.07 per share, and vesting annually over a period of 5 years. Mr. Febbo’s contract calls for 12 months of severance if he is terminated without cause.</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February 2018, Mr. Febbo signed a formal contract amendment that increased his base salary to $275,000 retroactive to January 1, 2018 and set his 2019 salary at $300,000. The amendment also accelerated vesting on the options originally expected to vest on the fifth anniversary of his contract, by three years, as well as obligated the Company to reimburse Mr. Febbo for the premium on a term life insurance policy. The Company also granted to Mr Febbo 240,000 shares of restricted common stock in February 2018 that vests if the Company achieves targeted stretch revenue goals in either 2019 or 2020.</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9" w:name="page50"/>
    <w:bookmarkEnd w:id="49"/>
    <w:p>
      <w:pPr>
        <w:jc w:val="both"/>
        <w:spacing w:after="0" w:line="272" w:lineRule="auto"/>
        <w:rPr>
          <w:sz w:val="20"/>
          <w:szCs w:val="20"/>
          <w:color w:val="auto"/>
        </w:rPr>
      </w:pPr>
      <w:r>
        <w:rPr>
          <w:rFonts w:ascii="Arial" w:cs="Arial" w:eastAsia="Arial" w:hAnsi="Arial"/>
          <w:sz w:val="17"/>
          <w:szCs w:val="17"/>
          <w:color w:val="auto"/>
        </w:rPr>
        <w:t>Ms. Paramore joined the Company as President on August 1, 2017. Her employment contract called for an initial base salary of $220,000. In addition, she is eligible to participate in the Company’s executive bonus plan with a target bonus of 40% of her annual salary. She is also eligible for vacation, sick days, insurance, to participate in the Company’s 401k plan, and other benefits covering all employees. Under the terms of her contract, the Company also granted to Ms. Paramore an option to purchase 500,000 shares of common stock, exercisable at a price of $1.05 per share, and vesting annually over a period of 5 years. Ms. Paramore’s contract calls for 6 months of severance if she is terminated without cause prior to August 1, 2018 and 12 months of severance is she is terminated without cause after August 1, 2018. Ms. Paramore was also granted 50,000 shares of restricted common stock in February 2018 that vests if the Company achieves targeted stretch revenue goals in either 2019 or 2020.</w:t>
      </w:r>
    </w:p>
    <w:p>
      <w:pPr>
        <w:spacing w:after="0" w:line="17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On June 27, 2016, Mr. Hamilton’s signed a new employment agreement calling for a base salary of $181,650. In addition, he is eligible to participate in the Company’s executive bonus plan with a target bonus of 40% of his annual salary. He is also eligible for vacation, sick days, insurance, to participate in the Company’s 401k plan, and other benefits covering all employees. In March 2017, Mr. Hamilton’s annual salary was adjusted to $200,000 per year, retroactive to January 1, 2017. No formal contract amendment was signed. Mr. Hamilton’s contract also calls for 12 months of severance if he is terminated without cause. The Company also granted to Mr. Hamilton an option to purchase 200,000 shares of common stock in 2016, exercisable at a price of $1.15 per share that vests annually over a period of two years. Mr. Hamilton was also granted a performance based option to purchase 200,000 shares of common stock in 2017 that vested when the Company achieved its revenue budget of $12,000,000.</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2018, Mr. Hamilton’s base salary was adjusted to $210,000, retroactive to January 1, 2018. He also has the opportunity to earn up to $100,000 of additional bonus in excess of the targeted amount, in increments of $20,000, if the Company exceeds its revenue targets by certain predefined milestones. Mr. Hamilton was also granted 50,000 shares of restricted stock in February 2018 that vest if the Company achieves targeted stretch revenue goals in either 2019 or 2020. Mr. Hamilton was also granted 50,000 shares of restricted common stock in February 2018 that vests if the Company achieves targeted stretch revenue goals in either 2019 or 2020.</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June 27, 2016, Mr. Baker signed a new employment agreement calling for a base salary of $180,000. In addition, he is eligible to participate in the Company’s executive bonus plan with a target bonus of 30% of his annual salary. He is also eligible for vacation, sick days, insurance, to participate in the Company’s 401k plan, and other benefits covering all employees. In March 2017, Mr. Baker’s annual salary was adjusted to $200,000 per year, retroactive to January 1, 2017. No formal contract amendment was signed. Mr. Baker’s contract calls for 6 months of severance if he is terminated without cause. Mr. Baker was also granted a performance based option to purchase 200,000 shares of common stock in 2017 that vested when the Company achieved its revenue budget of $12,000,000 and an option to purchase 100,000 shares of common stock that vests over a one-year period beginning in March 2017.</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2018, Mr. Baker’s annual salary was adjusted to $220,000 retroactive to January 1, 2018 and his target bonus percentage was changed to 40% of his annual salary. Mr. Baker was also granted 50,000 shares of restricted common stock in February 2018 that vests if the Company achieves targeted stretch revenue goals in either 2019 or 2020.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44"/>
        </w:trPr>
        <w:tc>
          <w:tcPr>
            <w:tcW w:w="20" w:type="dxa"/>
            <w:vAlign w:val="bottom"/>
          </w:tcPr>
          <w:p>
            <w:pPr>
              <w:spacing w:after="0"/>
              <w:rPr>
                <w:sz w:val="21"/>
                <w:szCs w:val="21"/>
                <w:color w:val="auto"/>
              </w:rPr>
            </w:pPr>
          </w:p>
        </w:tc>
        <w:tc>
          <w:tcPr>
            <w:tcW w:w="128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2380" w:type="dxa"/>
            <w:vAlign w:val="bottom"/>
            <w:tcBorders>
              <w:top w:val="single" w:sz="8" w:color="auto"/>
              <w:bottom w:val="single" w:sz="8" w:color="auto"/>
            </w:tcBorders>
            <w:gridSpan w:val="3"/>
          </w:tcPr>
          <w:p>
            <w:pPr>
              <w:jc w:val="right"/>
              <w:ind w:right="430"/>
              <w:spacing w:after="0"/>
              <w:rPr>
                <w:sz w:val="20"/>
                <w:szCs w:val="20"/>
                <w:color w:val="auto"/>
              </w:rPr>
            </w:pPr>
            <w:r>
              <w:rPr>
                <w:rFonts w:ascii="Arial" w:cs="Arial" w:eastAsia="Arial" w:hAnsi="Arial"/>
                <w:sz w:val="18"/>
                <w:szCs w:val="18"/>
                <w:color w:val="auto"/>
              </w:rPr>
              <w:t>OPTION AWARDS</w:t>
            </w:r>
          </w:p>
        </w:tc>
        <w:tc>
          <w:tcPr>
            <w:tcW w:w="180" w:type="dxa"/>
            <w:vAlign w:val="bottom"/>
            <w:tcBorders>
              <w:top w:val="single" w:sz="8" w:color="auto"/>
              <w:bottom w:val="single" w:sz="8" w:color="auto"/>
            </w:tcBorders>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80" w:type="dxa"/>
            <w:vAlign w:val="bottom"/>
            <w:tcBorders>
              <w:top w:val="single" w:sz="8" w:color="auto"/>
              <w:bottom w:val="single" w:sz="8" w:color="auto"/>
            </w:tcBorders>
          </w:tcPr>
          <w:p>
            <w:pPr>
              <w:spacing w:after="0"/>
              <w:rPr>
                <w:sz w:val="21"/>
                <w:szCs w:val="21"/>
                <w:color w:val="auto"/>
              </w:rPr>
            </w:pPr>
          </w:p>
        </w:tc>
        <w:tc>
          <w:tcPr>
            <w:tcW w:w="112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040" w:type="dxa"/>
            <w:vAlign w:val="bottom"/>
            <w:tcBorders>
              <w:top w:val="single" w:sz="8" w:color="auto"/>
              <w:bottom w:val="single" w:sz="8" w:color="auto"/>
            </w:tcBorders>
          </w:tcPr>
          <w:p>
            <w:pPr>
              <w:spacing w:after="0"/>
              <w:rPr>
                <w:sz w:val="21"/>
                <w:szCs w:val="21"/>
                <w:color w:val="auto"/>
              </w:rPr>
            </w:pPr>
          </w:p>
        </w:tc>
        <w:tc>
          <w:tcPr>
            <w:tcW w:w="100" w:type="dxa"/>
            <w:vAlign w:val="bottom"/>
            <w:tcBorders>
              <w:top w:val="single" w:sz="8" w:color="auto"/>
              <w:bottom w:val="single" w:sz="8" w:color="auto"/>
            </w:tcBorders>
          </w:tcPr>
          <w:p>
            <w:pPr>
              <w:spacing w:after="0"/>
              <w:rPr>
                <w:sz w:val="21"/>
                <w:szCs w:val="21"/>
                <w:color w:val="auto"/>
              </w:rPr>
            </w:pPr>
          </w:p>
        </w:tc>
        <w:tc>
          <w:tcPr>
            <w:tcW w:w="2000" w:type="dxa"/>
            <w:vAlign w:val="bottom"/>
            <w:tcBorders>
              <w:top w:val="single" w:sz="8" w:color="auto"/>
              <w:bottom w:val="single" w:sz="8" w:color="auto"/>
            </w:tcBorders>
            <w:gridSpan w:val="4"/>
          </w:tcPr>
          <w:p>
            <w:pPr>
              <w:ind w:left="100"/>
              <w:spacing w:after="0"/>
              <w:rPr>
                <w:sz w:val="20"/>
                <w:szCs w:val="20"/>
                <w:color w:val="auto"/>
              </w:rPr>
            </w:pPr>
            <w:r>
              <w:rPr>
                <w:rFonts w:ascii="Arial" w:cs="Arial" w:eastAsia="Arial" w:hAnsi="Arial"/>
                <w:sz w:val="18"/>
                <w:szCs w:val="18"/>
                <w:color w:val="auto"/>
              </w:rPr>
              <w:t>STOCK AWARDS</w:t>
            </w:r>
          </w:p>
        </w:tc>
        <w:tc>
          <w:tcPr>
            <w:tcW w:w="680" w:type="dxa"/>
            <w:vAlign w:val="bottom"/>
            <w:tcBorders>
              <w:top w:val="single" w:sz="8" w:color="auto"/>
              <w:bottom w:val="single" w:sz="8" w:color="auto"/>
            </w:tcBorders>
          </w:tcPr>
          <w:p>
            <w:pPr>
              <w:spacing w:after="0"/>
              <w:rPr>
                <w:sz w:val="21"/>
                <w:szCs w:val="21"/>
                <w:color w:val="auto"/>
              </w:rPr>
            </w:pPr>
          </w:p>
        </w:tc>
        <w:tc>
          <w:tcPr>
            <w:tcW w:w="60" w:type="dxa"/>
            <w:vAlign w:val="bottom"/>
            <w:tcBorders>
              <w:top w:val="single" w:sz="8" w:color="auto"/>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40" w:type="dxa"/>
            <w:vAlign w:val="bottom"/>
            <w:gridSpan w:val="2"/>
          </w:tcPr>
          <w:p>
            <w:pPr>
              <w:jc w:val="center"/>
              <w:ind w:right="100"/>
              <w:spacing w:after="0" w:line="201" w:lineRule="exact"/>
              <w:rPr>
                <w:sz w:val="20"/>
                <w:szCs w:val="20"/>
                <w:color w:val="auto"/>
              </w:rPr>
            </w:pPr>
            <w:r>
              <w:rPr>
                <w:rFonts w:ascii="Arial" w:cs="Arial" w:eastAsia="Arial" w:hAnsi="Arial"/>
                <w:sz w:val="18"/>
                <w:szCs w:val="18"/>
                <w:color w:val="auto"/>
                <w:w w:val="95"/>
              </w:rPr>
              <w:t>Equity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Incentive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5"/>
              </w:rPr>
              <w:t>Equity</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Plan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Incentive</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92"/>
              </w:rPr>
              <w:t>Awards: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Plan</w:t>
            </w:r>
          </w:p>
        </w:tc>
        <w:tc>
          <w:tcPr>
            <w:tcW w:w="740" w:type="dxa"/>
            <w:vAlign w:val="bottom"/>
            <w:gridSpan w:val="2"/>
          </w:tcPr>
          <w:p>
            <w:pPr>
              <w:jc w:val="center"/>
              <w:ind w:right="60"/>
              <w:spacing w:after="0"/>
              <w:rPr>
                <w:sz w:val="20"/>
                <w:szCs w:val="20"/>
                <w:color w:val="auto"/>
              </w:rPr>
            </w:pPr>
            <w:r>
              <w:rPr>
                <w:rFonts w:ascii="Arial" w:cs="Arial" w:eastAsia="Arial" w:hAnsi="Arial"/>
                <w:sz w:val="18"/>
                <w:szCs w:val="18"/>
                <w:color w:val="auto"/>
                <w:w w:val="94"/>
              </w:rPr>
              <w:t>Market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4"/>
              </w:rPr>
              <w:t>Market</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Awards:</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6"/>
              </w:rPr>
              <w:t>Value</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Number</w:t>
            </w:r>
          </w:p>
        </w:tc>
        <w:tc>
          <w:tcPr>
            <w:tcW w:w="74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Payout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rPr>
              <w:t>of</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rPr>
              <w:t>of</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Value 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4"/>
              </w:rPr>
              <w:t>Incentive</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Number</w:t>
            </w: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8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Unearned</w:t>
            </w:r>
          </w:p>
        </w:tc>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Unearned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Plan</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of</w:t>
            </w: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or</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83"/>
              </w:rPr>
              <w:t>Shares,</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83"/>
              </w:rPr>
              <w:t>Shares,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Awards: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84"/>
              </w:rPr>
              <w:t>Shares</w:t>
            </w: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7"/>
              </w:rPr>
              <w:t>Units</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6"/>
              </w:rPr>
              <w:t>Units or</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96"/>
              </w:rPr>
              <w:t>Units 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Number of</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Number of</w:t>
            </w: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Number of</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or Units</w:t>
            </w: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rPr>
              <w:t>of</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88"/>
              </w:rPr>
              <w:t>Other</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Other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Securities</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Securities</w:t>
            </w:r>
          </w:p>
        </w:tc>
        <w:tc>
          <w:tcPr>
            <w:tcW w:w="1080" w:type="dxa"/>
            <w:vAlign w:val="bottom"/>
          </w:tcPr>
          <w:p>
            <w:pPr>
              <w:jc w:val="center"/>
              <w:spacing w:after="0"/>
              <w:rPr>
                <w:sz w:val="20"/>
                <w:szCs w:val="20"/>
                <w:color w:val="auto"/>
              </w:rPr>
            </w:pPr>
            <w:r>
              <w:rPr>
                <w:rFonts w:ascii="Arial" w:cs="Arial" w:eastAsia="Arial" w:hAnsi="Arial"/>
                <w:sz w:val="18"/>
                <w:szCs w:val="18"/>
                <w:color w:val="auto"/>
                <w:w w:val="91"/>
              </w:rPr>
              <w:t>Securities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of</w:t>
            </w: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Stock</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Rights</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Rights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95"/>
              </w:rPr>
              <w:t>Underlying</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95"/>
              </w:rPr>
              <w:t>Underlying</w:t>
            </w:r>
          </w:p>
        </w:tc>
        <w:tc>
          <w:tcPr>
            <w:tcW w:w="1080" w:type="dxa"/>
            <w:vAlign w:val="bottom"/>
          </w:tcPr>
          <w:p>
            <w:pPr>
              <w:jc w:val="center"/>
              <w:spacing w:after="0"/>
              <w:rPr>
                <w:sz w:val="20"/>
                <w:szCs w:val="20"/>
                <w:color w:val="auto"/>
              </w:rPr>
            </w:pPr>
            <w:r>
              <w:rPr>
                <w:rFonts w:ascii="Arial" w:cs="Arial" w:eastAsia="Arial" w:hAnsi="Arial"/>
                <w:sz w:val="18"/>
                <w:szCs w:val="18"/>
                <w:color w:val="auto"/>
                <w:w w:val="95"/>
              </w:rPr>
              <w:t>Underlying</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Stock That</w:t>
            </w: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That</w:t>
            </w:r>
          </w:p>
        </w:tc>
        <w:tc>
          <w:tcPr>
            <w:tcW w:w="84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That</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That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8"/>
                <w:szCs w:val="18"/>
                <w:color w:val="auto"/>
                <w:w w:val="89"/>
              </w:rPr>
              <w:t>Unexercised</w:t>
            </w:r>
          </w:p>
        </w:tc>
        <w:tc>
          <w:tcPr>
            <w:tcW w:w="1300" w:type="dxa"/>
            <w:vAlign w:val="bottom"/>
            <w:gridSpan w:val="2"/>
          </w:tcPr>
          <w:p>
            <w:pPr>
              <w:jc w:val="center"/>
              <w:ind w:right="240"/>
              <w:spacing w:after="0"/>
              <w:rPr>
                <w:sz w:val="20"/>
                <w:szCs w:val="20"/>
                <w:color w:val="auto"/>
              </w:rPr>
            </w:pPr>
            <w:r>
              <w:rPr>
                <w:rFonts w:ascii="Arial" w:cs="Arial" w:eastAsia="Arial" w:hAnsi="Arial"/>
                <w:sz w:val="18"/>
                <w:szCs w:val="18"/>
                <w:color w:val="auto"/>
                <w:w w:val="89"/>
              </w:rPr>
              <w:t>Unexercised</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Unexercised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94"/>
              </w:rPr>
              <w:t>Option</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0"/>
              </w:rPr>
              <w:t>Have</w:t>
            </w: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Have</w:t>
            </w:r>
          </w:p>
        </w:tc>
        <w:tc>
          <w:tcPr>
            <w:tcW w:w="840" w:type="dxa"/>
            <w:vAlign w:val="bottom"/>
            <w:gridSpan w:val="2"/>
          </w:tcPr>
          <w:p>
            <w:pPr>
              <w:jc w:val="center"/>
              <w:ind w:right="140"/>
              <w:spacing w:after="0"/>
              <w:rPr>
                <w:sz w:val="20"/>
                <w:szCs w:val="20"/>
                <w:color w:val="auto"/>
              </w:rPr>
            </w:pPr>
            <w:r>
              <w:rPr>
                <w:rFonts w:ascii="Arial" w:cs="Arial" w:eastAsia="Arial" w:hAnsi="Arial"/>
                <w:sz w:val="18"/>
                <w:szCs w:val="18"/>
                <w:color w:val="auto"/>
                <w:w w:val="90"/>
              </w:rPr>
              <w:t>Have</w:t>
            </w:r>
          </w:p>
        </w:tc>
        <w:tc>
          <w:tcPr>
            <w:tcW w:w="74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Have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8"/>
                <w:szCs w:val="18"/>
                <w:color w:val="auto"/>
                <w:w w:val="90"/>
              </w:rPr>
              <w:t>Options</w:t>
            </w:r>
          </w:p>
        </w:tc>
        <w:tc>
          <w:tcPr>
            <w:tcW w:w="130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Options</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Unearned</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Exercise</w:t>
            </w:r>
          </w:p>
        </w:tc>
        <w:tc>
          <w:tcPr>
            <w:tcW w:w="80" w:type="dxa"/>
            <w:vAlign w:val="bottom"/>
          </w:tcPr>
          <w:p>
            <w:pPr>
              <w:spacing w:after="0"/>
              <w:rPr>
                <w:sz w:val="18"/>
                <w:szCs w:val="18"/>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8"/>
                <w:szCs w:val="18"/>
                <w:color w:val="auto"/>
                <w:w w:val="94"/>
              </w:rPr>
              <w:t>Option</w:t>
            </w:r>
          </w:p>
        </w:tc>
        <w:tc>
          <w:tcPr>
            <w:tcW w:w="1140" w:type="dxa"/>
            <w:vAlign w:val="bottom"/>
            <w:gridSpan w:val="2"/>
          </w:tcPr>
          <w:p>
            <w:pPr>
              <w:jc w:val="center"/>
              <w:ind w:right="160"/>
              <w:spacing w:after="0"/>
              <w:rPr>
                <w:sz w:val="20"/>
                <w:szCs w:val="20"/>
                <w:color w:val="auto"/>
              </w:rPr>
            </w:pPr>
            <w:r>
              <w:rPr>
                <w:rFonts w:ascii="Arial" w:cs="Arial" w:eastAsia="Arial" w:hAnsi="Arial"/>
                <w:sz w:val="18"/>
                <w:szCs w:val="18"/>
                <w:color w:val="auto"/>
                <w:w w:val="92"/>
              </w:rPr>
              <w:t>Not</w:t>
            </w: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99"/>
              </w:rPr>
              <w:t>Not</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99"/>
              </w:rPr>
              <w:t>Not</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99"/>
              </w:rPr>
              <w:t>Not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100" w:type="dxa"/>
            <w:vAlign w:val="bottom"/>
            <w:gridSpan w:val="2"/>
          </w:tcPr>
          <w:p>
            <w:pPr>
              <w:jc w:val="center"/>
              <w:spacing w:after="0"/>
              <w:rPr>
                <w:sz w:val="20"/>
                <w:szCs w:val="20"/>
                <w:color w:val="auto"/>
              </w:rPr>
            </w:pPr>
            <w:r>
              <w:rPr>
                <w:rFonts w:ascii="Arial" w:cs="Arial" w:eastAsia="Arial" w:hAnsi="Arial"/>
                <w:sz w:val="18"/>
                <w:szCs w:val="18"/>
                <w:color w:val="auto"/>
                <w:w w:val="90"/>
              </w:rPr>
              <w:t>(#)</w:t>
            </w:r>
          </w:p>
        </w:tc>
        <w:tc>
          <w:tcPr>
            <w:tcW w:w="18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8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Options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center"/>
              <w:ind w:right="260"/>
              <w:spacing w:after="0"/>
              <w:rPr>
                <w:sz w:val="20"/>
                <w:szCs w:val="20"/>
                <w:color w:val="auto"/>
              </w:rPr>
            </w:pPr>
            <w:r>
              <w:rPr>
                <w:rFonts w:ascii="Arial" w:cs="Arial" w:eastAsia="Arial" w:hAnsi="Arial"/>
                <w:sz w:val="18"/>
                <w:szCs w:val="18"/>
                <w:color w:val="auto"/>
                <w:w w:val="87"/>
              </w:rPr>
              <w:t>Price</w:t>
            </w:r>
          </w:p>
        </w:tc>
        <w:tc>
          <w:tcPr>
            <w:tcW w:w="80" w:type="dxa"/>
            <w:vAlign w:val="bottom"/>
          </w:tcPr>
          <w:p>
            <w:pPr>
              <w:spacing w:after="0"/>
              <w:rPr>
                <w:sz w:val="18"/>
                <w:szCs w:val="18"/>
                <w:color w:val="auto"/>
              </w:rPr>
            </w:pPr>
          </w:p>
        </w:tc>
        <w:tc>
          <w:tcPr>
            <w:tcW w:w="1220" w:type="dxa"/>
            <w:vAlign w:val="bottom"/>
            <w:gridSpan w:val="2"/>
          </w:tcPr>
          <w:p>
            <w:pPr>
              <w:jc w:val="center"/>
              <w:ind w:right="140"/>
              <w:spacing w:after="0"/>
              <w:rPr>
                <w:sz w:val="20"/>
                <w:szCs w:val="20"/>
                <w:color w:val="auto"/>
              </w:rPr>
            </w:pPr>
            <w:r>
              <w:rPr>
                <w:rFonts w:ascii="Arial" w:cs="Arial" w:eastAsia="Arial" w:hAnsi="Arial"/>
                <w:sz w:val="18"/>
                <w:szCs w:val="18"/>
                <w:color w:val="auto"/>
                <w:w w:val="94"/>
              </w:rPr>
              <w:t>Expiration</w:t>
            </w:r>
          </w:p>
        </w:tc>
        <w:tc>
          <w:tcPr>
            <w:tcW w:w="1140" w:type="dxa"/>
            <w:vAlign w:val="bottom"/>
            <w:gridSpan w:val="2"/>
          </w:tcPr>
          <w:p>
            <w:pPr>
              <w:jc w:val="center"/>
              <w:ind w:right="140"/>
              <w:spacing w:after="0"/>
              <w:rPr>
                <w:sz w:val="20"/>
                <w:szCs w:val="20"/>
                <w:color w:val="auto"/>
              </w:rPr>
            </w:pPr>
            <w:r>
              <w:rPr>
                <w:rFonts w:ascii="Arial" w:cs="Arial" w:eastAsia="Arial" w:hAnsi="Arial"/>
                <w:sz w:val="18"/>
                <w:szCs w:val="18"/>
                <w:color w:val="auto"/>
                <w:w w:val="85"/>
              </w:rPr>
              <w:t>Vested</w:t>
            </w: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color w:val="auto"/>
                <w:w w:val="85"/>
              </w:rPr>
              <w:t>Vested</w:t>
            </w:r>
          </w:p>
        </w:tc>
        <w:tc>
          <w:tcPr>
            <w:tcW w:w="840" w:type="dxa"/>
            <w:vAlign w:val="bottom"/>
            <w:gridSpan w:val="2"/>
          </w:tcPr>
          <w:p>
            <w:pPr>
              <w:jc w:val="center"/>
              <w:ind w:right="160"/>
              <w:spacing w:after="0"/>
              <w:rPr>
                <w:sz w:val="20"/>
                <w:szCs w:val="20"/>
                <w:color w:val="auto"/>
              </w:rPr>
            </w:pPr>
            <w:r>
              <w:rPr>
                <w:rFonts w:ascii="Arial" w:cs="Arial" w:eastAsia="Arial" w:hAnsi="Arial"/>
                <w:sz w:val="18"/>
                <w:szCs w:val="18"/>
                <w:color w:val="auto"/>
                <w:w w:val="85"/>
              </w:rPr>
              <w:t>Vested</w:t>
            </w:r>
          </w:p>
        </w:tc>
        <w:tc>
          <w:tcPr>
            <w:tcW w:w="740" w:type="dxa"/>
            <w:vAlign w:val="bottom"/>
            <w:gridSpan w:val="2"/>
          </w:tcPr>
          <w:p>
            <w:pPr>
              <w:jc w:val="center"/>
              <w:ind w:right="100"/>
              <w:spacing w:after="0"/>
              <w:rPr>
                <w:sz w:val="20"/>
                <w:szCs w:val="20"/>
                <w:color w:val="auto"/>
              </w:rPr>
            </w:pPr>
            <w:r>
              <w:rPr>
                <w:rFonts w:ascii="Arial" w:cs="Arial" w:eastAsia="Arial" w:hAnsi="Arial"/>
                <w:sz w:val="18"/>
                <w:szCs w:val="18"/>
                <w:color w:val="auto"/>
                <w:w w:val="85"/>
              </w:rPr>
              <w:t>Vested</w:t>
            </w:r>
          </w:p>
        </w:tc>
        <w:tc>
          <w:tcPr>
            <w:tcW w:w="0" w:type="dxa"/>
            <w:vAlign w:val="bottom"/>
          </w:tcPr>
          <w:p>
            <w:pPr>
              <w:spacing w:after="0"/>
              <w:rPr>
                <w:sz w:val="1"/>
                <w:szCs w:val="1"/>
                <w:color w:val="auto"/>
              </w:rPr>
            </w:pPr>
          </w:p>
        </w:tc>
      </w:tr>
      <w:tr>
        <w:trPr>
          <w:trHeight w:val="237"/>
        </w:trPr>
        <w:tc>
          <w:tcPr>
            <w:tcW w:w="1300" w:type="dxa"/>
            <w:vAlign w:val="bottom"/>
            <w:gridSpan w:val="2"/>
          </w:tcPr>
          <w:p>
            <w:pPr>
              <w:spacing w:after="0"/>
              <w:rPr>
                <w:sz w:val="20"/>
                <w:szCs w:val="20"/>
                <w:color w:val="auto"/>
              </w:rPr>
            </w:pPr>
            <w:r>
              <w:rPr>
                <w:rFonts w:ascii="Arial" w:cs="Arial" w:eastAsia="Arial" w:hAnsi="Arial"/>
                <w:sz w:val="18"/>
                <w:szCs w:val="18"/>
                <w:color w:val="auto"/>
              </w:rPr>
              <w:t>Name</w:t>
            </w:r>
          </w:p>
        </w:tc>
        <w:tc>
          <w:tcPr>
            <w:tcW w:w="80" w:type="dxa"/>
            <w:vAlign w:val="bottom"/>
          </w:tcPr>
          <w:p>
            <w:pPr>
              <w:spacing w:after="0"/>
              <w:rPr>
                <w:sz w:val="20"/>
                <w:szCs w:val="20"/>
                <w:color w:val="auto"/>
              </w:rPr>
            </w:pPr>
          </w:p>
        </w:tc>
        <w:tc>
          <w:tcPr>
            <w:tcW w:w="1200" w:type="dxa"/>
            <w:vAlign w:val="bottom"/>
            <w:gridSpan w:val="2"/>
          </w:tcPr>
          <w:p>
            <w:pPr>
              <w:ind w:left="80"/>
              <w:spacing w:after="0"/>
              <w:rPr>
                <w:sz w:val="20"/>
                <w:szCs w:val="20"/>
                <w:color w:val="auto"/>
              </w:rPr>
            </w:pPr>
            <w:r>
              <w:rPr>
                <w:rFonts w:ascii="Arial" w:cs="Arial" w:eastAsia="Arial" w:hAnsi="Arial"/>
                <w:sz w:val="18"/>
                <w:szCs w:val="18"/>
                <w:color w:val="auto"/>
              </w:rPr>
              <w:t>Exercisable</w:t>
            </w:r>
          </w:p>
        </w:tc>
        <w:tc>
          <w:tcPr>
            <w:tcW w:w="1300" w:type="dxa"/>
            <w:vAlign w:val="bottom"/>
            <w:gridSpan w:val="2"/>
          </w:tcPr>
          <w:p>
            <w:pPr>
              <w:jc w:val="center"/>
              <w:ind w:right="180"/>
              <w:spacing w:after="0"/>
              <w:rPr>
                <w:sz w:val="20"/>
                <w:szCs w:val="20"/>
                <w:color w:val="auto"/>
              </w:rPr>
            </w:pPr>
            <w:r>
              <w:rPr>
                <w:rFonts w:ascii="Arial" w:cs="Arial" w:eastAsia="Arial" w:hAnsi="Arial"/>
                <w:sz w:val="18"/>
                <w:szCs w:val="18"/>
                <w:color w:val="auto"/>
                <w:w w:val="91"/>
              </w:rPr>
              <w:t>Unexercisable</w:t>
            </w:r>
          </w:p>
        </w:tc>
        <w:tc>
          <w:tcPr>
            <w:tcW w:w="10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center"/>
              <w:ind w:right="30"/>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Date</w:t>
            </w: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12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Will Febbo</w:t>
            </w:r>
          </w:p>
        </w:tc>
        <w:tc>
          <w:tcPr>
            <w:tcW w:w="8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18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88"/>
              </w:rPr>
              <w:t>02/21/21</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1280" w:type="dxa"/>
            <w:vAlign w:val="bottom"/>
          </w:tcPr>
          <w:p>
            <w:pPr>
              <w:spacing w:after="0"/>
              <w:rPr>
                <w:sz w:val="20"/>
                <w:szCs w:val="20"/>
                <w:color w:val="auto"/>
              </w:rPr>
            </w:pPr>
            <w:r>
              <w:rPr>
                <w:rFonts w:ascii="Arial" w:cs="Arial" w:eastAsia="Arial" w:hAnsi="Arial"/>
                <w:sz w:val="18"/>
                <w:szCs w:val="18"/>
                <w:color w:val="auto"/>
                <w:highlight w:val="white"/>
                <w:w w:val="91"/>
              </w:rPr>
              <w:t>Miriam Paramore</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500,000</w:t>
            </w:r>
          </w:p>
        </w:tc>
        <w:tc>
          <w:tcPr>
            <w:tcW w:w="1080" w:type="dxa"/>
            <w:vAlign w:val="bottom"/>
          </w:tcPr>
          <w:p>
            <w:pPr>
              <w:spacing w:after="0"/>
              <w:rPr>
                <w:sz w:val="20"/>
                <w:szCs w:val="20"/>
                <w:color w:val="auto"/>
              </w:rPr>
            </w:pP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1.05</w:t>
            </w:r>
          </w:p>
        </w:tc>
        <w:tc>
          <w:tcPr>
            <w:tcW w:w="1200" w:type="dxa"/>
            <w:vAlign w:val="bottom"/>
            <w:gridSpan w:val="2"/>
          </w:tcPr>
          <w:p>
            <w:pPr>
              <w:jc w:val="right"/>
              <w:ind w:right="390"/>
              <w:spacing w:after="0"/>
              <w:rPr>
                <w:sz w:val="20"/>
                <w:szCs w:val="20"/>
                <w:color w:val="auto"/>
              </w:rPr>
            </w:pPr>
            <w:r>
              <w:rPr>
                <w:rFonts w:ascii="Arial" w:cs="Arial" w:eastAsia="Arial" w:hAnsi="Arial"/>
                <w:sz w:val="18"/>
                <w:szCs w:val="18"/>
                <w:color w:val="auto"/>
                <w:w w:val="99"/>
              </w:rPr>
              <w:t>07/27/22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vMerge w:val="restart"/>
          </w:tcPr>
          <w:p>
            <w:pPr>
              <w:spacing w:after="0"/>
              <w:rPr>
                <w:sz w:val="17"/>
                <w:szCs w:val="17"/>
                <w:color w:val="auto"/>
              </w:rPr>
            </w:pPr>
          </w:p>
        </w:tc>
        <w:tc>
          <w:tcPr>
            <w:tcW w:w="1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Douglas Baker</w:t>
            </w:r>
          </w:p>
        </w:tc>
        <w:tc>
          <w:tcPr>
            <w:tcW w:w="1280" w:type="dxa"/>
            <w:vAlign w:val="bottom"/>
            <w:gridSpan w:val="3"/>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100,000</w:t>
            </w:r>
          </w:p>
        </w:tc>
        <w:tc>
          <w:tcPr>
            <w:tcW w:w="130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390"/>
              <w:spacing w:after="0" w:line="201" w:lineRule="exact"/>
              <w:rPr>
                <w:sz w:val="20"/>
                <w:szCs w:val="20"/>
                <w:color w:val="auto"/>
              </w:rPr>
            </w:pPr>
            <w:r>
              <w:rPr>
                <w:rFonts w:ascii="Arial" w:cs="Arial" w:eastAsia="Arial" w:hAnsi="Arial"/>
                <w:sz w:val="18"/>
                <w:szCs w:val="18"/>
                <w:color w:val="auto"/>
                <w:w w:val="99"/>
              </w:rPr>
              <w:t>05/19/19</w:t>
            </w:r>
          </w:p>
        </w:tc>
        <w:tc>
          <w:tcPr>
            <w:tcW w:w="1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100,000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w w:val="99"/>
              </w:rPr>
              <w:t>06/24/20</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200,000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w w:val="99"/>
              </w:rPr>
              <w:t>03/31/22</w:t>
            </w: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2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100,000</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50,000</w:t>
            </w:r>
          </w:p>
        </w:tc>
        <w:tc>
          <w:tcPr>
            <w:tcW w:w="10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$0.82</w:t>
            </w:r>
          </w:p>
        </w:tc>
        <w:tc>
          <w:tcPr>
            <w:tcW w:w="10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w w:val="99"/>
              </w:rPr>
              <w:t>03/31/22</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280" w:type="dxa"/>
            <w:vAlign w:val="bottom"/>
          </w:tcPr>
          <w:p>
            <w:pPr>
              <w:spacing w:after="0" w:line="201" w:lineRule="exact"/>
              <w:rPr>
                <w:sz w:val="20"/>
                <w:szCs w:val="20"/>
                <w:color w:val="auto"/>
              </w:rPr>
            </w:pPr>
            <w:r>
              <w:rPr>
                <w:rFonts w:ascii="Arial" w:cs="Arial" w:eastAsia="Arial" w:hAnsi="Arial"/>
                <w:sz w:val="18"/>
                <w:szCs w:val="18"/>
                <w:color w:val="auto"/>
              </w:rPr>
              <w:t>Terry Hamilton</w:t>
            </w:r>
          </w:p>
        </w:tc>
        <w:tc>
          <w:tcPr>
            <w:tcW w:w="1280" w:type="dxa"/>
            <w:vAlign w:val="bottom"/>
            <w:gridSpan w:val="3"/>
          </w:tcPr>
          <w:p>
            <w:pPr>
              <w:jc w:val="right"/>
              <w:ind w:right="180"/>
              <w:spacing w:after="0" w:line="201" w:lineRule="exact"/>
              <w:rPr>
                <w:sz w:val="20"/>
                <w:szCs w:val="20"/>
                <w:color w:val="auto"/>
              </w:rPr>
            </w:pPr>
            <w:r>
              <w:rPr>
                <w:rFonts w:ascii="Arial" w:cs="Arial" w:eastAsia="Arial" w:hAnsi="Arial"/>
                <w:sz w:val="18"/>
                <w:szCs w:val="18"/>
                <w:color w:val="auto"/>
              </w:rPr>
              <w:t>100,000</w:t>
            </w:r>
          </w:p>
        </w:tc>
        <w:tc>
          <w:tcPr>
            <w:tcW w:w="1300" w:type="dxa"/>
            <w:vAlign w:val="bottom"/>
            <w:gridSpan w:val="2"/>
          </w:tcPr>
          <w:p>
            <w:pPr>
              <w:jc w:val="right"/>
              <w:ind w:right="180"/>
              <w:spacing w:after="0" w:line="201" w:lineRule="exact"/>
              <w:rPr>
                <w:sz w:val="20"/>
                <w:szCs w:val="20"/>
                <w:color w:val="auto"/>
              </w:rPr>
            </w:pPr>
            <w:r>
              <w:rPr>
                <w:rFonts w:ascii="Arial" w:cs="Arial" w:eastAsia="Arial" w:hAnsi="Arial"/>
                <w:sz w:val="18"/>
                <w:szCs w:val="18"/>
                <w:color w:val="auto"/>
              </w:rPr>
              <w:t>100,000</w:t>
            </w: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line="201" w:lineRule="exact"/>
              <w:rPr>
                <w:sz w:val="20"/>
                <w:szCs w:val="20"/>
                <w:color w:val="auto"/>
              </w:rPr>
            </w:pPr>
            <w:r>
              <w:rPr>
                <w:rFonts w:ascii="Arial" w:cs="Arial" w:eastAsia="Arial" w:hAnsi="Arial"/>
                <w:sz w:val="18"/>
                <w:szCs w:val="18"/>
                <w:color w:val="auto"/>
              </w:rPr>
              <w:t>$1.15</w:t>
            </w:r>
          </w:p>
        </w:tc>
        <w:tc>
          <w:tcPr>
            <w:tcW w:w="100" w:type="dxa"/>
            <w:vAlign w:val="bottom"/>
          </w:tcPr>
          <w:p>
            <w:pPr>
              <w:spacing w:after="0"/>
              <w:rPr>
                <w:sz w:val="17"/>
                <w:szCs w:val="17"/>
                <w:color w:val="auto"/>
              </w:rPr>
            </w:pPr>
          </w:p>
        </w:tc>
        <w:tc>
          <w:tcPr>
            <w:tcW w:w="1200" w:type="dxa"/>
            <w:vAlign w:val="bottom"/>
            <w:gridSpan w:val="2"/>
          </w:tcPr>
          <w:p>
            <w:pPr>
              <w:jc w:val="right"/>
              <w:ind w:right="390"/>
              <w:spacing w:after="0" w:line="201" w:lineRule="exact"/>
              <w:rPr>
                <w:sz w:val="20"/>
                <w:szCs w:val="20"/>
                <w:color w:val="auto"/>
              </w:rPr>
            </w:pPr>
            <w:r>
              <w:rPr>
                <w:rFonts w:ascii="Arial" w:cs="Arial" w:eastAsia="Arial" w:hAnsi="Arial"/>
                <w:sz w:val="18"/>
                <w:szCs w:val="18"/>
                <w:color w:val="auto"/>
                <w:w w:val="99"/>
              </w:rPr>
              <w:t>07/28/16</w:t>
            </w:r>
          </w:p>
        </w:tc>
        <w:tc>
          <w:tcPr>
            <w:tcW w:w="1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80" w:type="dxa"/>
            <w:vAlign w:val="bottom"/>
            <w:gridSpan w:val="3"/>
          </w:tcPr>
          <w:p>
            <w:pPr>
              <w:jc w:val="right"/>
              <w:ind w:right="180"/>
              <w:spacing w:after="0"/>
              <w:rPr>
                <w:sz w:val="20"/>
                <w:szCs w:val="20"/>
                <w:color w:val="auto"/>
              </w:rPr>
            </w:pPr>
            <w:r>
              <w:rPr>
                <w:rFonts w:ascii="Arial" w:cs="Arial" w:eastAsia="Arial" w:hAnsi="Arial"/>
                <w:sz w:val="18"/>
                <w:szCs w:val="18"/>
                <w:color w:val="auto"/>
              </w:rPr>
              <w:t>200,000</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$0.82</w:t>
            </w:r>
          </w:p>
        </w:tc>
        <w:tc>
          <w:tcPr>
            <w:tcW w:w="100" w:type="dxa"/>
            <w:vAlign w:val="bottom"/>
          </w:tcPr>
          <w:p>
            <w:pPr>
              <w:spacing w:after="0"/>
              <w:rPr>
                <w:sz w:val="20"/>
                <w:szCs w:val="20"/>
                <w:color w:val="auto"/>
              </w:rPr>
            </w:pPr>
          </w:p>
        </w:tc>
        <w:tc>
          <w:tcPr>
            <w:tcW w:w="1200" w:type="dxa"/>
            <w:vAlign w:val="bottom"/>
            <w:gridSpan w:val="2"/>
          </w:tcPr>
          <w:p>
            <w:pPr>
              <w:jc w:val="right"/>
              <w:ind w:right="390"/>
              <w:spacing w:after="0"/>
              <w:rPr>
                <w:sz w:val="20"/>
                <w:szCs w:val="20"/>
                <w:color w:val="auto"/>
              </w:rPr>
            </w:pPr>
            <w:r>
              <w:rPr>
                <w:rFonts w:ascii="Arial" w:cs="Arial" w:eastAsia="Arial" w:hAnsi="Arial"/>
                <w:sz w:val="18"/>
                <w:szCs w:val="18"/>
                <w:color w:val="auto"/>
                <w:w w:val="99"/>
              </w:rPr>
              <w:t>03/31/22</w:t>
            </w: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-4004310</wp:posOffset>
            </wp:positionV>
            <wp:extent cx="7246620" cy="40049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004945"/>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all compensation of our directors as of December 31, 2017:</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40"/>
              <w:spacing w:after="0"/>
              <w:rPr>
                <w:sz w:val="20"/>
                <w:szCs w:val="20"/>
                <w:color w:val="auto"/>
              </w:rPr>
            </w:pPr>
            <w:r>
              <w:rPr>
                <w:rFonts w:ascii="Arial" w:cs="Arial" w:eastAsia="Arial" w:hAnsi="Arial"/>
                <w:sz w:val="18"/>
                <w:szCs w:val="18"/>
                <w:color w:val="auto"/>
                <w:w w:val="87"/>
              </w:rPr>
              <w:t>Fees Earned or</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3"/>
              </w:rPr>
              <w:t>Stock</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94"/>
              </w:rPr>
              <w:t>Option</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97"/>
              </w:rPr>
              <w:t>All Other</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Paid in Cash</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9"/>
              </w:rPr>
              <w:t>Awards</w:t>
            </w:r>
          </w:p>
        </w:tc>
        <w:tc>
          <w:tcPr>
            <w:tcW w:w="1360" w:type="dxa"/>
            <w:vAlign w:val="bottom"/>
            <w:gridSpan w:val="2"/>
          </w:tcPr>
          <w:p>
            <w:pPr>
              <w:jc w:val="center"/>
              <w:spacing w:after="0"/>
              <w:rPr>
                <w:sz w:val="20"/>
                <w:szCs w:val="20"/>
                <w:color w:val="auto"/>
              </w:rPr>
            </w:pPr>
            <w:r>
              <w:rPr>
                <w:rFonts w:ascii="Arial" w:cs="Arial" w:eastAsia="Arial" w:hAnsi="Arial"/>
                <w:sz w:val="18"/>
                <w:szCs w:val="18"/>
                <w:color w:val="auto"/>
                <w:w w:val="89"/>
              </w:rPr>
              <w:t>Awards</w:t>
            </w:r>
          </w:p>
        </w:tc>
        <w:tc>
          <w:tcPr>
            <w:tcW w:w="1340" w:type="dxa"/>
            <w:vAlign w:val="bottom"/>
            <w:gridSpan w:val="2"/>
          </w:tcPr>
          <w:p>
            <w:pPr>
              <w:jc w:val="center"/>
              <w:spacing w:after="0"/>
              <w:rPr>
                <w:sz w:val="20"/>
                <w:szCs w:val="20"/>
                <w:color w:val="auto"/>
              </w:rPr>
            </w:pPr>
            <w:r>
              <w:rPr>
                <w:rFonts w:ascii="Arial" w:cs="Arial" w:eastAsia="Arial" w:hAnsi="Arial"/>
                <w:sz w:val="18"/>
                <w:szCs w:val="18"/>
                <w:color w:val="auto"/>
                <w:w w:val="89"/>
              </w:rPr>
              <w:t>Compensation</w:t>
            </w:r>
          </w:p>
        </w:tc>
        <w:tc>
          <w:tcPr>
            <w:tcW w:w="1360" w:type="dxa"/>
            <w:vAlign w:val="bottom"/>
            <w:gridSpan w:val="2"/>
          </w:tcPr>
          <w:p>
            <w:pPr>
              <w:ind w:left="500"/>
              <w:spacing w:after="0"/>
              <w:rPr>
                <w:sz w:val="20"/>
                <w:szCs w:val="20"/>
                <w:color w:val="auto"/>
              </w:rPr>
            </w:pPr>
            <w:r>
              <w:rPr>
                <w:rFonts w:ascii="Arial" w:cs="Arial" w:eastAsia="Arial" w:hAnsi="Arial"/>
                <w:sz w:val="18"/>
                <w:szCs w:val="18"/>
                <w:color w:val="auto"/>
              </w:rPr>
              <w:t>Total</w:t>
            </w:r>
          </w:p>
        </w:tc>
      </w:tr>
      <w:tr>
        <w:trPr>
          <w:trHeight w:val="237"/>
        </w:trPr>
        <w:tc>
          <w:tcPr>
            <w:tcW w:w="4700" w:type="dxa"/>
            <w:vAlign w:val="bottom"/>
            <w:gridSpan w:val="2"/>
          </w:tcPr>
          <w:p>
            <w:pPr>
              <w:spacing w:after="0"/>
              <w:rPr>
                <w:sz w:val="20"/>
                <w:szCs w:val="20"/>
                <w:color w:val="auto"/>
              </w:rPr>
            </w:pPr>
            <w:r>
              <w:rPr>
                <w:rFonts w:ascii="Arial" w:cs="Arial" w:eastAsia="Arial" w:hAnsi="Arial"/>
                <w:sz w:val="18"/>
                <w:szCs w:val="18"/>
                <w:color w:val="auto"/>
              </w:rPr>
              <w:t>Name</w:t>
            </w:r>
          </w:p>
        </w:tc>
        <w:tc>
          <w:tcPr>
            <w:tcW w:w="11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1260" w:type="dxa"/>
            <w:vAlign w:val="bottom"/>
          </w:tcPr>
          <w:p>
            <w:pPr>
              <w:jc w:val="center"/>
              <w:ind w:left="3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260" w:type="dxa"/>
            <w:vAlign w:val="bottom"/>
          </w:tcPr>
          <w:p>
            <w:pPr>
              <w:jc w:val="center"/>
              <w:ind w:left="10"/>
              <w:spacing w:after="0"/>
              <w:rPr>
                <w:sz w:val="20"/>
                <w:szCs w:val="20"/>
                <w:color w:val="auto"/>
              </w:rPr>
            </w:pPr>
            <w:r>
              <w:rPr>
                <w:rFonts w:ascii="Arial" w:cs="Arial" w:eastAsia="Arial" w:hAnsi="Arial"/>
                <w:sz w:val="18"/>
                <w:szCs w:val="18"/>
                <w:color w:val="auto"/>
                <w:w w:val="90"/>
              </w:rPr>
              <w:t>($)</w:t>
            </w:r>
          </w:p>
        </w:tc>
        <w:tc>
          <w:tcPr>
            <w:tcW w:w="100" w:type="dxa"/>
            <w:vAlign w:val="bottom"/>
          </w:tcPr>
          <w:p>
            <w:pPr>
              <w:spacing w:after="0"/>
              <w:rPr>
                <w:sz w:val="20"/>
                <w:szCs w:val="20"/>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26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r>
      <w:tr>
        <w:trPr>
          <w:trHeight w:val="216"/>
        </w:trPr>
        <w:tc>
          <w:tcPr>
            <w:tcW w:w="45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Gus D. Halas</w:t>
            </w:r>
          </w:p>
        </w:tc>
        <w:tc>
          <w:tcPr>
            <w:tcW w:w="1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1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29,186</w:t>
            </w: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59,186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gridSpan w:val="2"/>
          </w:tcPr>
          <w:p>
            <w:pPr>
              <w:spacing w:after="0"/>
              <w:rPr>
                <w:sz w:val="20"/>
                <w:szCs w:val="20"/>
                <w:color w:val="auto"/>
              </w:rPr>
            </w:pPr>
            <w:r>
              <w:rPr>
                <w:rFonts w:ascii="Arial" w:cs="Arial" w:eastAsia="Arial" w:hAnsi="Arial"/>
                <w:sz w:val="18"/>
                <w:szCs w:val="18"/>
                <w:color w:val="auto"/>
              </w:rPr>
              <w:t>James Lang</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20,000</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29,186</w:t>
            </w: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49,186</w:t>
            </w:r>
          </w:p>
        </w:tc>
      </w:tr>
      <w:tr>
        <w:trPr>
          <w:trHeight w:val="216"/>
        </w:trPr>
        <w:tc>
          <w:tcPr>
            <w:tcW w:w="47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Pinney</w:t>
            </w: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26,250</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29,186</w:t>
            </w: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55,436</w:t>
            </w:r>
          </w:p>
        </w:tc>
      </w:tr>
      <w:tr>
        <w:trPr>
          <w:trHeight w:val="230"/>
        </w:trPr>
        <w:tc>
          <w:tcPr>
            <w:tcW w:w="4700" w:type="dxa"/>
            <w:vAlign w:val="bottom"/>
            <w:gridSpan w:val="2"/>
          </w:tcPr>
          <w:p>
            <w:pPr>
              <w:spacing w:after="0"/>
              <w:rPr>
                <w:sz w:val="20"/>
                <w:szCs w:val="20"/>
                <w:color w:val="auto"/>
              </w:rPr>
            </w:pPr>
            <w:r>
              <w:rPr>
                <w:rFonts w:ascii="Arial" w:cs="Arial" w:eastAsia="Arial" w:hAnsi="Arial"/>
                <w:sz w:val="18"/>
                <w:szCs w:val="18"/>
                <w:color w:val="auto"/>
              </w:rPr>
              <w:t>Lynn Vos</w:t>
            </w:r>
          </w:p>
        </w:tc>
        <w:tc>
          <w:tcPr>
            <w:tcW w:w="1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641"/>
        </w:trPr>
        <w:tc>
          <w:tcPr>
            <w:tcW w:w="4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1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-1405890</wp:posOffset>
            </wp:positionV>
            <wp:extent cx="7246620" cy="9779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97790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Narrative Disclosure to the Director Compensation Table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our Director Compensation Plan, independent directors (“Outside Directors”) shall receive (a) annual cash retainer for Board and Committee service as set forth in the table below, payable in equal quarterly installments, and (b) reimbursement for expenses related to Board meeting attendance and any committee participation.</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10180" w:type="dxa"/>
            <w:vAlign w:val="bottom"/>
          </w:tcPr>
          <w:p>
            <w:pPr>
              <w:spacing w:after="0"/>
              <w:rPr>
                <w:sz w:val="20"/>
                <w:szCs w:val="20"/>
                <w:color w:val="auto"/>
              </w:rPr>
            </w:pPr>
          </w:p>
        </w:tc>
        <w:tc>
          <w:tcPr>
            <w:tcW w:w="1240" w:type="dxa"/>
            <w:vAlign w:val="bottom"/>
            <w:gridSpan w:val="2"/>
          </w:tcPr>
          <w:p>
            <w:pPr>
              <w:ind w:left="20"/>
              <w:spacing w:after="0"/>
              <w:rPr>
                <w:sz w:val="20"/>
                <w:szCs w:val="20"/>
                <w:color w:val="auto"/>
              </w:rPr>
            </w:pPr>
            <w:r>
              <w:rPr>
                <w:rFonts w:ascii="Arial" w:cs="Arial" w:eastAsia="Arial" w:hAnsi="Arial"/>
                <w:sz w:val="18"/>
                <w:szCs w:val="18"/>
                <w:color w:val="auto"/>
              </w:rPr>
              <w:t xml:space="preserve">Annual Fee </w:t>
            </w:r>
            <w:r>
              <w:rPr>
                <w:rFonts w:ascii="Arial" w:cs="Arial" w:eastAsia="Arial" w:hAnsi="Arial"/>
                <w:sz w:val="18"/>
                <w:szCs w:val="18"/>
                <w:u w:val="single" w:color="auto"/>
                <w:color w:val="auto"/>
              </w:rPr>
              <w:t>($</w:t>
            </w:r>
            <w:r>
              <w:rPr>
                <w:rFonts w:ascii="Arial" w:cs="Arial" w:eastAsia="Arial" w:hAnsi="Arial"/>
                <w:sz w:val="18"/>
                <w:szCs w:val="18"/>
                <w:color w:val="auto"/>
              </w:rPr>
              <w:t>)</w:t>
            </w:r>
          </w:p>
        </w:tc>
      </w:tr>
      <w:tr>
        <w:trPr>
          <w:trHeight w:val="216"/>
        </w:trPr>
        <w:tc>
          <w:tcPr>
            <w:tcW w:w="10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Director Fee</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Board Chair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12,500</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Audit Committee Chair</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Audit Committee Member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w:t>
            </w:r>
          </w:p>
        </w:tc>
      </w:tr>
      <w:tr>
        <w:trPr>
          <w:trHeight w:val="216"/>
        </w:trPr>
        <w:tc>
          <w:tcPr>
            <w:tcW w:w="10180" w:type="dxa"/>
            <w:vAlign w:val="bottom"/>
          </w:tcPr>
          <w:p>
            <w:pPr>
              <w:spacing w:after="0"/>
              <w:rPr>
                <w:sz w:val="20"/>
                <w:szCs w:val="20"/>
                <w:color w:val="auto"/>
              </w:rPr>
            </w:pPr>
            <w:r>
              <w:rPr>
                <w:rFonts w:ascii="Arial" w:cs="Arial" w:eastAsia="Arial" w:hAnsi="Arial"/>
                <w:sz w:val="18"/>
                <w:szCs w:val="18"/>
                <w:color w:val="auto"/>
              </w:rPr>
              <w:t>Compensation Committee Member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2,500</w:t>
            </w:r>
          </w:p>
        </w:tc>
      </w:tr>
      <w:tr>
        <w:trPr>
          <w:trHeight w:val="216"/>
        </w:trPr>
        <w:tc>
          <w:tcPr>
            <w:tcW w:w="10180" w:type="dxa"/>
            <w:vAlign w:val="bottom"/>
            <w:shd w:val="clear" w:color="auto" w:fill="CCEEFF"/>
          </w:tcPr>
          <w:p>
            <w:pPr>
              <w:spacing w:after="0"/>
              <w:rPr>
                <w:sz w:val="20"/>
                <w:szCs w:val="20"/>
                <w:color w:val="auto"/>
              </w:rPr>
            </w:pPr>
            <w:r>
              <w:rPr>
                <w:rFonts w:ascii="Arial" w:cs="Arial" w:eastAsia="Arial" w:hAnsi="Arial"/>
                <w:sz w:val="18"/>
                <w:szCs w:val="18"/>
                <w:color w:val="auto"/>
              </w:rPr>
              <w:t>Nominating and Governance Chair</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2,500</w:t>
            </w:r>
          </w:p>
        </w:tc>
      </w:tr>
      <w:tr>
        <w:trPr>
          <w:trHeight w:val="230"/>
        </w:trPr>
        <w:tc>
          <w:tcPr>
            <w:tcW w:w="10180" w:type="dxa"/>
            <w:vAlign w:val="bottom"/>
          </w:tcPr>
          <w:p>
            <w:pPr>
              <w:spacing w:after="0"/>
              <w:rPr>
                <w:sz w:val="20"/>
                <w:szCs w:val="20"/>
                <w:color w:val="auto"/>
              </w:rPr>
            </w:pPr>
            <w:r>
              <w:rPr>
                <w:rFonts w:ascii="Arial" w:cs="Arial" w:eastAsia="Arial" w:hAnsi="Arial"/>
                <w:sz w:val="18"/>
                <w:szCs w:val="18"/>
                <w:color w:val="auto"/>
              </w:rPr>
              <w:t>Nominating and Governance Committee Member</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-1269365</wp:posOffset>
            </wp:positionV>
            <wp:extent cx="7246620" cy="12604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Directors are expected to attend four meetings per year as well as spend an additional 10 – 20 hours per month on company matters. In addition, Outside Directors shall also receive 25,000 shares of Common Stock, payable in equal quarterly installments, which shall vest immediately. Directors that are also employees of our company shall not receive additional compensation for serving on the Board. Both the cash retainer and stock awards are prorated for partial quarters of service when a new Director joins the Board.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12. Security Ownership of Certain Beneficial Owners and Management and Related Stockholder Matters.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BENEFICIAL OWNERS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table sets forth the beneficial ownership by each person, other than executive officers and directors, known to us to beneficially own 5% or more of our outstanding common stock as of February 28, 2018. This information is based on public filings as of February 28, 2018. For the purposes of this Annual Report on Form 10-K, beneficial ownership of securities is defined in accordance with the rules of the SEC to mean generally the power to vote or dispose of securities, regardless of any economic interest therein, including any such security that the person has the right to acquire within 60 days after such date.</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480" w:type="dxa"/>
            <w:vAlign w:val="bottom"/>
          </w:tcPr>
          <w:p>
            <w:pPr>
              <w:spacing w:after="0"/>
              <w:rPr>
                <w:sz w:val="20"/>
                <w:szCs w:val="20"/>
                <w:color w:val="auto"/>
              </w:rPr>
            </w:pPr>
            <w:r>
              <w:rPr>
                <w:rFonts w:ascii="Arial" w:cs="Arial" w:eastAsia="Arial" w:hAnsi="Arial"/>
                <w:sz w:val="18"/>
                <w:szCs w:val="18"/>
                <w:color w:val="auto"/>
              </w:rPr>
              <w:t>More Than 5% Beneficial</w:t>
            </w:r>
          </w:p>
        </w:tc>
        <w:tc>
          <w:tcPr>
            <w:tcW w:w="120" w:type="dxa"/>
            <w:vAlign w:val="bottom"/>
          </w:tcPr>
          <w:p>
            <w:pPr>
              <w:spacing w:after="0"/>
              <w:rPr>
                <w:sz w:val="18"/>
                <w:szCs w:val="18"/>
                <w:color w:val="auto"/>
              </w:rPr>
            </w:pPr>
          </w:p>
        </w:tc>
        <w:tc>
          <w:tcPr>
            <w:tcW w:w="5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Common Shares</w:t>
            </w:r>
          </w:p>
        </w:tc>
        <w:tc>
          <w:tcPr>
            <w:tcW w:w="1600" w:type="dxa"/>
            <w:vAlign w:val="bottom"/>
            <w:gridSpan w:val="2"/>
          </w:tcPr>
          <w:p>
            <w:pPr>
              <w:jc w:val="right"/>
              <w:ind w:right="310"/>
              <w:spacing w:after="0"/>
              <w:rPr>
                <w:sz w:val="20"/>
                <w:szCs w:val="20"/>
                <w:color w:val="auto"/>
              </w:rPr>
            </w:pPr>
            <w:r>
              <w:rPr>
                <w:rFonts w:ascii="Arial" w:cs="Arial" w:eastAsia="Arial" w:hAnsi="Arial"/>
                <w:sz w:val="18"/>
                <w:szCs w:val="18"/>
                <w:color w:val="auto"/>
              </w:rPr>
              <w:t>Percentage of</w:t>
            </w:r>
          </w:p>
        </w:tc>
      </w:tr>
      <w:tr>
        <w:trPr>
          <w:trHeight w:val="237"/>
        </w:trPr>
        <w:tc>
          <w:tcPr>
            <w:tcW w:w="2480" w:type="dxa"/>
            <w:vAlign w:val="bottom"/>
          </w:tcPr>
          <w:p>
            <w:pPr>
              <w:spacing w:after="0"/>
              <w:rPr>
                <w:sz w:val="20"/>
                <w:szCs w:val="20"/>
                <w:color w:val="auto"/>
              </w:rPr>
            </w:pPr>
            <w:r>
              <w:rPr>
                <w:rFonts w:ascii="Arial" w:cs="Arial" w:eastAsia="Arial" w:hAnsi="Arial"/>
                <w:sz w:val="18"/>
                <w:szCs w:val="18"/>
                <w:color w:val="auto"/>
              </w:rPr>
              <w:t>Owners:</w:t>
            </w:r>
          </w:p>
        </w:tc>
        <w:tc>
          <w:tcPr>
            <w:tcW w:w="120" w:type="dxa"/>
            <w:vAlign w:val="bottom"/>
          </w:tcPr>
          <w:p>
            <w:pPr>
              <w:spacing w:after="0"/>
              <w:rPr>
                <w:sz w:val="20"/>
                <w:szCs w:val="20"/>
                <w:color w:val="auto"/>
              </w:rPr>
            </w:pPr>
          </w:p>
        </w:tc>
        <w:tc>
          <w:tcPr>
            <w:tcW w:w="5620" w:type="dxa"/>
            <w:vAlign w:val="bottom"/>
            <w:gridSpan w:val="2"/>
          </w:tcPr>
          <w:p>
            <w:pPr>
              <w:ind w:left="2060"/>
              <w:spacing w:after="0"/>
              <w:rPr>
                <w:sz w:val="20"/>
                <w:szCs w:val="20"/>
                <w:color w:val="auto"/>
              </w:rPr>
            </w:pPr>
            <w:r>
              <w:rPr>
                <w:rFonts w:ascii="Arial" w:cs="Arial" w:eastAsia="Arial" w:hAnsi="Arial"/>
                <w:sz w:val="18"/>
                <w:szCs w:val="18"/>
                <w:color w:val="auto"/>
              </w:rPr>
              <w:t>Name and Address</w:t>
            </w:r>
          </w:p>
        </w:tc>
        <w:tc>
          <w:tcPr>
            <w:tcW w:w="160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Owned</w:t>
            </w:r>
          </w:p>
        </w:tc>
        <w:tc>
          <w:tcPr>
            <w:tcW w:w="1600" w:type="dxa"/>
            <w:vAlign w:val="bottom"/>
            <w:gridSpan w:val="2"/>
          </w:tcPr>
          <w:p>
            <w:pPr>
              <w:jc w:val="right"/>
              <w:ind w:right="610"/>
              <w:spacing w:after="0"/>
              <w:rPr>
                <w:sz w:val="20"/>
                <w:szCs w:val="20"/>
                <w:color w:val="auto"/>
              </w:rPr>
            </w:pPr>
            <w:r>
              <w:rPr>
                <w:rFonts w:ascii="Arial" w:cs="Arial" w:eastAsia="Arial" w:hAnsi="Arial"/>
                <w:sz w:val="18"/>
                <w:szCs w:val="18"/>
                <w:color w:val="auto"/>
              </w:rPr>
              <w:t>Class</w:t>
            </w:r>
          </w:p>
        </w:tc>
      </w:tr>
      <w:tr>
        <w:trPr>
          <w:trHeight w:val="242"/>
        </w:trPr>
        <w:tc>
          <w:tcPr>
            <w:tcW w:w="24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w:t>
            </w:r>
          </w:p>
        </w:tc>
        <w:tc>
          <w:tcPr>
            <w:tcW w:w="120" w:type="dxa"/>
            <w:vAlign w:val="bottom"/>
            <w:tcBorders>
              <w:top w:val="single" w:sz="8" w:color="CCEEFF"/>
            </w:tcBorders>
            <w:shd w:val="clear" w:color="auto" w:fill="CCEEFF"/>
          </w:tcPr>
          <w:p>
            <w:pPr>
              <w:spacing w:after="0"/>
              <w:rPr>
                <w:sz w:val="21"/>
                <w:szCs w:val="21"/>
                <w:color w:val="auto"/>
              </w:rPr>
            </w:pPr>
          </w:p>
        </w:tc>
        <w:tc>
          <w:tcPr>
            <w:tcW w:w="5500" w:type="dxa"/>
            <w:vAlign w:val="bottom"/>
            <w:tcBorders>
              <w:top w:val="single" w:sz="8" w:color="auto"/>
            </w:tcBorders>
            <w:shd w:val="clear" w:color="auto" w:fill="CCEEFF"/>
          </w:tcPr>
          <w:p>
            <w:pPr>
              <w:spacing w:after="0" w:line="242" w:lineRule="exact"/>
              <w:rPr>
                <w:sz w:val="20"/>
                <w:szCs w:val="20"/>
                <w:color w:val="auto"/>
              </w:rPr>
            </w:pPr>
            <w:r>
              <w:rPr>
                <w:rFonts w:ascii="Arial" w:cs="Arial" w:eastAsia="Arial" w:hAnsi="Arial"/>
                <w:sz w:val="17"/>
                <w:szCs w:val="17"/>
                <w:color w:val="auto"/>
              </w:rPr>
              <w:t>WPP PLC</w:t>
            </w:r>
            <w:r>
              <w:rPr>
                <w:rFonts w:ascii="Arial" w:cs="Arial" w:eastAsia="Arial" w:hAnsi="Arial"/>
                <w:sz w:val="28"/>
                <w:szCs w:val="28"/>
                <w:color w:val="auto"/>
                <w:vertAlign w:val="superscript"/>
              </w:rPr>
              <w:t>(1)</w:t>
            </w:r>
          </w:p>
        </w:tc>
        <w:tc>
          <w:tcPr>
            <w:tcW w:w="120" w:type="dxa"/>
            <w:vAlign w:val="bottom"/>
            <w:tcBorders>
              <w:top w:val="single" w:sz="8" w:color="CCEEFF"/>
            </w:tcBorders>
            <w:shd w:val="clear" w:color="auto" w:fill="CCEEFF"/>
          </w:tcPr>
          <w:p>
            <w:pPr>
              <w:spacing w:after="0"/>
              <w:rPr>
                <w:sz w:val="21"/>
                <w:szCs w:val="21"/>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6,011,106</w:t>
            </w:r>
          </w:p>
        </w:tc>
        <w:tc>
          <w:tcPr>
            <w:tcW w:w="240" w:type="dxa"/>
            <w:vAlign w:val="bottom"/>
            <w:tcBorders>
              <w:top w:val="single" w:sz="8" w:color="CCEEFF"/>
            </w:tcBorders>
            <w:shd w:val="clear" w:color="auto" w:fill="CCEEFF"/>
          </w:tcPr>
          <w:p>
            <w:pPr>
              <w:spacing w:after="0"/>
              <w:rPr>
                <w:sz w:val="21"/>
                <w:szCs w:val="21"/>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w:t>
            </w:r>
          </w:p>
        </w:tc>
        <w:tc>
          <w:tcPr>
            <w:tcW w:w="18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r>
      <w:tr>
        <w:trPr>
          <w:trHeight w:val="216"/>
        </w:trPr>
        <w:tc>
          <w:tcPr>
            <w:tcW w:w="248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27 Farm Street</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16"/>
        </w:trPr>
        <w:tc>
          <w:tcPr>
            <w:tcW w:w="248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London, United Kingdom</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2480" w:type="dxa"/>
            <w:vAlign w:val="bottom"/>
            <w:shd w:val="clear" w:color="auto" w:fill="CCEEFF"/>
          </w:tcPr>
          <w:p>
            <w:pPr>
              <w:spacing w:after="0"/>
              <w:rPr>
                <w:sz w:val="20"/>
                <w:szCs w:val="20"/>
                <w:color w:val="auto"/>
              </w:rPr>
            </w:pPr>
          </w:p>
        </w:tc>
        <w:tc>
          <w:tcPr>
            <w:tcW w:w="57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W1J 5RJ</w:t>
            </w: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05"/>
        </w:trPr>
        <w:tc>
          <w:tcPr>
            <w:tcW w:w="2480" w:type="dxa"/>
            <w:vAlign w:val="bottom"/>
          </w:tcPr>
          <w:p>
            <w:pPr>
              <w:spacing w:after="0" w:line="206" w:lineRule="exact"/>
              <w:rPr>
                <w:sz w:val="20"/>
                <w:szCs w:val="20"/>
                <w:color w:val="auto"/>
              </w:rPr>
            </w:pPr>
            <w:r>
              <w:rPr>
                <w:rFonts w:ascii="Arial" w:cs="Arial" w:eastAsia="Arial" w:hAnsi="Arial"/>
                <w:sz w:val="18"/>
                <w:szCs w:val="18"/>
                <w:color w:val="auto"/>
              </w:rPr>
              <w:t>Common</w:t>
            </w:r>
          </w:p>
        </w:tc>
        <w:tc>
          <w:tcPr>
            <w:tcW w:w="5740" w:type="dxa"/>
            <w:vAlign w:val="bottom"/>
            <w:gridSpan w:val="3"/>
          </w:tcPr>
          <w:p>
            <w:pPr>
              <w:ind w:left="120"/>
              <w:spacing w:after="0" w:line="206" w:lineRule="exact"/>
              <w:rPr>
                <w:sz w:val="20"/>
                <w:szCs w:val="20"/>
                <w:color w:val="auto"/>
              </w:rPr>
            </w:pPr>
            <w:r>
              <w:rPr>
                <w:rFonts w:ascii="Arial" w:cs="Arial" w:eastAsia="Arial" w:hAnsi="Arial"/>
                <w:sz w:val="18"/>
                <w:szCs w:val="18"/>
                <w:color w:val="auto"/>
              </w:rPr>
              <w:t>Wolverine Flagship Fund</w:t>
            </w:r>
          </w:p>
        </w:tc>
        <w:tc>
          <w:tcPr>
            <w:tcW w:w="1360" w:type="dxa"/>
            <w:vAlign w:val="bottom"/>
          </w:tcPr>
          <w:p>
            <w:pPr>
              <w:jc w:val="right"/>
              <w:spacing w:after="0" w:line="206" w:lineRule="exact"/>
              <w:rPr>
                <w:sz w:val="20"/>
                <w:szCs w:val="20"/>
                <w:color w:val="auto"/>
              </w:rPr>
            </w:pPr>
            <w:r>
              <w:rPr>
                <w:rFonts w:ascii="Arial" w:cs="Arial" w:eastAsia="Arial" w:hAnsi="Arial"/>
                <w:sz w:val="18"/>
                <w:szCs w:val="18"/>
                <w:color w:val="auto"/>
              </w:rPr>
              <w:t>2,155,860</w:t>
            </w:r>
          </w:p>
        </w:tc>
        <w:tc>
          <w:tcPr>
            <w:tcW w:w="240" w:type="dxa"/>
            <w:vAlign w:val="bottom"/>
          </w:tcPr>
          <w:p>
            <w:pPr>
              <w:spacing w:after="0"/>
              <w:rPr>
                <w:sz w:val="17"/>
                <w:szCs w:val="17"/>
                <w:color w:val="auto"/>
              </w:rPr>
            </w:pPr>
          </w:p>
        </w:tc>
        <w:tc>
          <w:tcPr>
            <w:tcW w:w="1600" w:type="dxa"/>
            <w:vAlign w:val="bottom"/>
            <w:gridSpan w:val="2"/>
          </w:tcPr>
          <w:p>
            <w:pPr>
              <w:jc w:val="right"/>
              <w:spacing w:after="0" w:line="206" w:lineRule="exact"/>
              <w:rPr>
                <w:sz w:val="20"/>
                <w:szCs w:val="20"/>
                <w:color w:val="auto"/>
              </w:rPr>
            </w:pPr>
            <w:r>
              <w:rPr>
                <w:rFonts w:ascii="Arial" w:cs="Arial" w:eastAsia="Arial" w:hAnsi="Arial"/>
                <w:sz w:val="18"/>
                <w:szCs w:val="18"/>
                <w:color w:val="auto"/>
              </w:rPr>
              <w:t>7.4 %</w:t>
            </w:r>
          </w:p>
        </w:tc>
      </w:tr>
      <w:tr>
        <w:trPr>
          <w:trHeight w:val="267"/>
        </w:trPr>
        <w:tc>
          <w:tcPr>
            <w:tcW w:w="2480" w:type="dxa"/>
            <w:vAlign w:val="bottom"/>
          </w:tcPr>
          <w:p>
            <w:pPr>
              <w:spacing w:after="0"/>
              <w:rPr>
                <w:sz w:val="23"/>
                <w:szCs w:val="23"/>
                <w:color w:val="auto"/>
              </w:rPr>
            </w:pPr>
          </w:p>
        </w:tc>
        <w:tc>
          <w:tcPr>
            <w:tcW w:w="5740" w:type="dxa"/>
            <w:vAlign w:val="bottom"/>
            <w:gridSpan w:val="3"/>
          </w:tcPr>
          <w:p>
            <w:pPr>
              <w:ind w:left="120"/>
              <w:spacing w:after="0" w:line="266" w:lineRule="exact"/>
              <w:rPr>
                <w:sz w:val="20"/>
                <w:szCs w:val="20"/>
                <w:color w:val="auto"/>
              </w:rPr>
            </w:pPr>
            <w:r>
              <w:rPr>
                <w:rFonts w:ascii="Arial" w:cs="Arial" w:eastAsia="Arial" w:hAnsi="Arial"/>
                <w:sz w:val="18"/>
                <w:szCs w:val="18"/>
                <w:color w:val="auto"/>
              </w:rPr>
              <w:t>Trading Limited</w:t>
            </w:r>
            <w:r>
              <w:rPr>
                <w:rFonts w:ascii="Arial" w:cs="Arial" w:eastAsia="Arial" w:hAnsi="Arial"/>
                <w:sz w:val="30"/>
                <w:szCs w:val="30"/>
                <w:color w:val="auto"/>
                <w:vertAlign w:val="superscript"/>
              </w:rPr>
              <w:t>(2)</w:t>
            </w:r>
            <w:r>
              <w:rPr>
                <w:rFonts w:ascii="Arial" w:cs="Arial" w:eastAsia="Arial" w:hAnsi="Arial"/>
                <w:sz w:val="18"/>
                <w:szCs w:val="18"/>
                <w:color w:val="auto"/>
              </w:rPr>
              <w:t xml:space="preserve"> 175 W Jackson Blvd, 3rd Flr Chicago, IL 60604</w:t>
            </w:r>
          </w:p>
        </w:tc>
        <w:tc>
          <w:tcPr>
            <w:tcW w:w="1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80" w:type="dxa"/>
            <w:vAlign w:val="bottom"/>
          </w:tcPr>
          <w:p>
            <w:pPr>
              <w:spacing w:after="0"/>
              <w:rPr>
                <w:sz w:val="23"/>
                <w:szCs w:val="23"/>
                <w:color w:val="auto"/>
              </w:rPr>
            </w:pPr>
          </w:p>
        </w:tc>
      </w:tr>
      <w:tr>
        <w:trPr>
          <w:trHeight w:val="242"/>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5740" w:type="dxa"/>
            <w:vAlign w:val="bottom"/>
            <w:gridSpan w:val="3"/>
            <w:shd w:val="clear" w:color="auto" w:fill="CCEEFF"/>
          </w:tcPr>
          <w:p>
            <w:pPr>
              <w:ind w:left="120"/>
              <w:spacing w:after="0" w:line="242" w:lineRule="exact"/>
              <w:rPr>
                <w:sz w:val="20"/>
                <w:szCs w:val="20"/>
                <w:color w:val="auto"/>
              </w:rPr>
            </w:pPr>
            <w:r>
              <w:rPr>
                <w:rFonts w:ascii="Arial" w:cs="Arial" w:eastAsia="Arial" w:hAnsi="Arial"/>
                <w:sz w:val="17"/>
                <w:szCs w:val="17"/>
                <w:color w:val="auto"/>
              </w:rPr>
              <w:t>Harvey L. Poppel</w:t>
            </w:r>
            <w:r>
              <w:rPr>
                <w:rFonts w:ascii="Arial" w:cs="Arial" w:eastAsia="Arial" w:hAnsi="Arial"/>
                <w:sz w:val="28"/>
                <w:szCs w:val="28"/>
                <w:color w:val="auto"/>
                <w:vertAlign w:val="superscript"/>
              </w:rPr>
              <w:t>(3)</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2,754,257</w:t>
            </w:r>
          </w:p>
        </w:tc>
        <w:tc>
          <w:tcPr>
            <w:tcW w:w="2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9.4 %</w:t>
            </w:r>
          </w:p>
        </w:tc>
      </w:tr>
      <w:tr>
        <w:trPr>
          <w:trHeight w:val="216"/>
        </w:trPr>
        <w:tc>
          <w:tcPr>
            <w:tcW w:w="248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110 El Mirasol</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2480" w:type="dxa"/>
            <w:vAlign w:val="bottom"/>
            <w:shd w:val="clear" w:color="auto" w:fill="CCEEFF"/>
          </w:tcPr>
          <w:p>
            <w:pPr>
              <w:spacing w:after="0"/>
              <w:rPr>
                <w:sz w:val="20"/>
                <w:szCs w:val="20"/>
                <w:color w:val="auto"/>
              </w:rPr>
            </w:pPr>
          </w:p>
        </w:tc>
        <w:tc>
          <w:tcPr>
            <w:tcW w:w="57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Palm Beach, FL 33480</w:t>
            </w: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r>
        <w:trPr>
          <w:trHeight w:val="242"/>
        </w:trPr>
        <w:tc>
          <w:tcPr>
            <w:tcW w:w="2480" w:type="dxa"/>
            <w:vAlign w:val="bottom"/>
          </w:tcPr>
          <w:p>
            <w:pPr>
              <w:spacing w:after="0"/>
              <w:rPr>
                <w:sz w:val="20"/>
                <w:szCs w:val="20"/>
                <w:color w:val="auto"/>
              </w:rPr>
            </w:pPr>
            <w:r>
              <w:rPr>
                <w:rFonts w:ascii="Arial" w:cs="Arial" w:eastAsia="Arial" w:hAnsi="Arial"/>
                <w:sz w:val="18"/>
                <w:szCs w:val="18"/>
                <w:color w:val="auto"/>
              </w:rPr>
              <w:t>Common</w:t>
            </w:r>
          </w:p>
        </w:tc>
        <w:tc>
          <w:tcPr>
            <w:tcW w:w="5740" w:type="dxa"/>
            <w:vAlign w:val="bottom"/>
            <w:gridSpan w:val="3"/>
          </w:tcPr>
          <w:p>
            <w:pPr>
              <w:ind w:left="120"/>
              <w:spacing w:after="0" w:line="242" w:lineRule="exact"/>
              <w:rPr>
                <w:sz w:val="20"/>
                <w:szCs w:val="20"/>
                <w:color w:val="auto"/>
              </w:rPr>
            </w:pPr>
            <w:r>
              <w:rPr>
                <w:rFonts w:ascii="Arial" w:cs="Arial" w:eastAsia="Arial" w:hAnsi="Arial"/>
                <w:sz w:val="17"/>
                <w:szCs w:val="17"/>
                <w:color w:val="auto"/>
              </w:rPr>
              <w:t>Ronald L. Chez</w:t>
            </w:r>
            <w:r>
              <w:rPr>
                <w:rFonts w:ascii="Arial" w:cs="Arial" w:eastAsia="Arial" w:hAnsi="Arial"/>
                <w:sz w:val="28"/>
                <w:szCs w:val="28"/>
                <w:color w:val="auto"/>
                <w:vertAlign w:val="superscript"/>
              </w:rPr>
              <w:t>(4)</w:t>
            </w:r>
          </w:p>
        </w:tc>
        <w:tc>
          <w:tcPr>
            <w:tcW w:w="1360" w:type="dxa"/>
            <w:vAlign w:val="bottom"/>
          </w:tcPr>
          <w:p>
            <w:pPr>
              <w:jc w:val="right"/>
              <w:spacing w:after="0"/>
              <w:rPr>
                <w:sz w:val="20"/>
                <w:szCs w:val="20"/>
                <w:color w:val="auto"/>
              </w:rPr>
            </w:pPr>
            <w:r>
              <w:rPr>
                <w:rFonts w:ascii="Arial" w:cs="Arial" w:eastAsia="Arial" w:hAnsi="Arial"/>
                <w:sz w:val="18"/>
                <w:szCs w:val="18"/>
                <w:color w:val="auto"/>
              </w:rPr>
              <w:t>2,721,976</w:t>
            </w:r>
          </w:p>
        </w:tc>
        <w:tc>
          <w:tcPr>
            <w:tcW w:w="240" w:type="dxa"/>
            <w:vAlign w:val="bottom"/>
          </w:tcPr>
          <w:p>
            <w:pPr>
              <w:spacing w:after="0"/>
              <w:rPr>
                <w:sz w:val="21"/>
                <w:szCs w:val="21"/>
                <w:color w:val="auto"/>
              </w:rPr>
            </w:pP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9.3 %</w:t>
            </w:r>
          </w:p>
        </w:tc>
      </w:tr>
      <w:tr>
        <w:trPr>
          <w:trHeight w:val="216"/>
        </w:trPr>
        <w:tc>
          <w:tcPr>
            <w:tcW w:w="2480" w:type="dxa"/>
            <w:vAlign w:val="bottom"/>
          </w:tcPr>
          <w:p>
            <w:pPr>
              <w:spacing w:after="0"/>
              <w:rPr>
                <w:sz w:val="18"/>
                <w:szCs w:val="18"/>
                <w:color w:val="auto"/>
              </w:rPr>
            </w:pPr>
          </w:p>
        </w:tc>
        <w:tc>
          <w:tcPr>
            <w:tcW w:w="5740" w:type="dxa"/>
            <w:vAlign w:val="bottom"/>
            <w:gridSpan w:val="3"/>
          </w:tcPr>
          <w:p>
            <w:pPr>
              <w:ind w:left="120"/>
              <w:spacing w:after="0"/>
              <w:rPr>
                <w:sz w:val="20"/>
                <w:szCs w:val="20"/>
                <w:color w:val="auto"/>
              </w:rPr>
            </w:pPr>
            <w:r>
              <w:rPr>
                <w:rFonts w:ascii="Arial" w:cs="Arial" w:eastAsia="Arial" w:hAnsi="Arial"/>
                <w:sz w:val="18"/>
                <w:szCs w:val="18"/>
                <w:color w:val="auto"/>
              </w:rPr>
              <w:t>55 East Monroe Street, Suite 3700</w:t>
            </w:r>
          </w:p>
        </w:tc>
        <w:tc>
          <w:tcPr>
            <w:tcW w:w="1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30"/>
        </w:trPr>
        <w:tc>
          <w:tcPr>
            <w:tcW w:w="2480" w:type="dxa"/>
            <w:vAlign w:val="bottom"/>
          </w:tcPr>
          <w:p>
            <w:pPr>
              <w:spacing w:after="0"/>
              <w:rPr>
                <w:sz w:val="20"/>
                <w:szCs w:val="20"/>
                <w:color w:val="auto"/>
              </w:rPr>
            </w:pPr>
          </w:p>
        </w:tc>
        <w:tc>
          <w:tcPr>
            <w:tcW w:w="5740" w:type="dxa"/>
            <w:vAlign w:val="bottom"/>
            <w:gridSpan w:val="3"/>
          </w:tcPr>
          <w:p>
            <w:pPr>
              <w:ind w:left="120"/>
              <w:spacing w:after="0"/>
              <w:rPr>
                <w:sz w:val="20"/>
                <w:szCs w:val="20"/>
                <w:color w:val="auto"/>
              </w:rPr>
            </w:pPr>
            <w:r>
              <w:rPr>
                <w:rFonts w:ascii="Arial" w:cs="Arial" w:eastAsia="Arial" w:hAnsi="Arial"/>
                <w:sz w:val="18"/>
                <w:szCs w:val="18"/>
                <w:color w:val="auto"/>
              </w:rPr>
              <w:t>Chicago, IL 60603</w:t>
            </w:r>
          </w:p>
        </w:tc>
        <w:tc>
          <w:tcPr>
            <w:tcW w:w="1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42"/>
        </w:trPr>
        <w:tc>
          <w:tcPr>
            <w:tcW w:w="2480" w:type="dxa"/>
            <w:vAlign w:val="bottom"/>
            <w:shd w:val="clear" w:color="auto" w:fill="CCEEFF"/>
          </w:tcPr>
          <w:p>
            <w:pPr>
              <w:spacing w:after="0"/>
              <w:rPr>
                <w:sz w:val="20"/>
                <w:szCs w:val="20"/>
                <w:color w:val="auto"/>
              </w:rPr>
            </w:pPr>
            <w:r>
              <w:rPr>
                <w:rFonts w:ascii="Arial" w:cs="Arial" w:eastAsia="Arial" w:hAnsi="Arial"/>
                <w:sz w:val="18"/>
                <w:szCs w:val="18"/>
                <w:color w:val="auto"/>
              </w:rPr>
              <w:t>Common</w:t>
            </w:r>
          </w:p>
        </w:tc>
        <w:tc>
          <w:tcPr>
            <w:tcW w:w="5740" w:type="dxa"/>
            <w:vAlign w:val="bottom"/>
            <w:gridSpan w:val="3"/>
            <w:shd w:val="clear" w:color="auto" w:fill="CCEEFF"/>
          </w:tcPr>
          <w:p>
            <w:pPr>
              <w:ind w:left="120"/>
              <w:spacing w:after="0" w:line="242" w:lineRule="exact"/>
              <w:rPr>
                <w:sz w:val="20"/>
                <w:szCs w:val="20"/>
                <w:color w:val="auto"/>
              </w:rPr>
            </w:pPr>
            <w:r>
              <w:rPr>
                <w:rFonts w:ascii="Arial" w:cs="Arial" w:eastAsia="Arial" w:hAnsi="Arial"/>
                <w:sz w:val="17"/>
                <w:szCs w:val="17"/>
                <w:color w:val="auto"/>
              </w:rPr>
              <w:t>Goldman Capital Management</w:t>
            </w:r>
            <w:r>
              <w:rPr>
                <w:rFonts w:ascii="Arial" w:cs="Arial" w:eastAsia="Arial" w:hAnsi="Arial"/>
                <w:sz w:val="28"/>
                <w:szCs w:val="28"/>
                <w:color w:val="auto"/>
                <w:vertAlign w:val="superscript"/>
              </w:rPr>
              <w:t>(5)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1,532,394</w:t>
            </w:r>
          </w:p>
        </w:tc>
        <w:tc>
          <w:tcPr>
            <w:tcW w:w="240" w:type="dxa"/>
            <w:vAlign w:val="bottom"/>
            <w:shd w:val="clear" w:color="auto" w:fill="CCEEFF"/>
          </w:tcPr>
          <w:p>
            <w:pPr>
              <w:spacing w:after="0"/>
              <w:rPr>
                <w:sz w:val="21"/>
                <w:szCs w:val="21"/>
                <w:color w:val="auto"/>
              </w:rPr>
            </w:pP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5.2 %</w:t>
            </w:r>
          </w:p>
        </w:tc>
      </w:tr>
      <w:tr>
        <w:trPr>
          <w:trHeight w:val="216"/>
        </w:trPr>
        <w:tc>
          <w:tcPr>
            <w:tcW w:w="2480" w:type="dxa"/>
            <w:vAlign w:val="bottom"/>
            <w:shd w:val="clear" w:color="auto" w:fill="CCEEFF"/>
          </w:tcPr>
          <w:p>
            <w:pPr>
              <w:spacing w:after="0"/>
              <w:rPr>
                <w:sz w:val="18"/>
                <w:szCs w:val="18"/>
                <w:color w:val="auto"/>
              </w:rPr>
            </w:pPr>
          </w:p>
        </w:tc>
        <w:tc>
          <w:tcPr>
            <w:tcW w:w="57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767 Third Avenue, 25th Floor</w:t>
            </w:r>
          </w:p>
        </w:tc>
        <w:tc>
          <w:tcPr>
            <w:tcW w:w="13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r>
      <w:tr>
        <w:trPr>
          <w:trHeight w:val="230"/>
        </w:trPr>
        <w:tc>
          <w:tcPr>
            <w:tcW w:w="2480" w:type="dxa"/>
            <w:vAlign w:val="bottom"/>
            <w:shd w:val="clear" w:color="auto" w:fill="CCEEFF"/>
          </w:tcPr>
          <w:p>
            <w:pPr>
              <w:spacing w:after="0"/>
              <w:rPr>
                <w:sz w:val="20"/>
                <w:szCs w:val="20"/>
                <w:color w:val="auto"/>
              </w:rPr>
            </w:pPr>
          </w:p>
        </w:tc>
        <w:tc>
          <w:tcPr>
            <w:tcW w:w="574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New York, NY 10017</w:t>
            </w:r>
          </w:p>
        </w:tc>
        <w:tc>
          <w:tcPr>
            <w:tcW w:w="13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-2477770</wp:posOffset>
            </wp:positionV>
            <wp:extent cx="7246620" cy="247840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2478405"/>
                    </a:xfrm>
                    <a:prstGeom prst="rect">
                      <a:avLst/>
                    </a:prstGeom>
                    <a:noFill/>
                  </pic:spPr>
                </pic:pic>
              </a:graphicData>
            </a:graphic>
          </wp:anchor>
        </w:drawing>
      </w:r>
    </w:p>
    <w:p>
      <w:pPr>
        <w:spacing w:after="0" w:line="182"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stated in a Schedule 13D filed with the Securities and Exchange Commission on October 2, 2015.</w:t>
      </w:r>
    </w:p>
    <w:p>
      <w:pPr>
        <w:spacing w:after="0" w:line="23"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stated in a Schedule 13G/A filed with the Securities and Exchange Commission on March 6, 2017.</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stated in a Schedule 13G filed with the Securities and Exchange Commission on January 8, 2018.</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stated in a Schedule 13D/A filed with the Securities and Exchange Commission on October 27, 2015.</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stated in a Schedule 13G filed with the Securities and Exchange Commission on October 24, 2014.</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p>
      <w:pPr>
        <w:jc w:val="center"/>
        <w:spacing w:after="0"/>
        <w:rPr>
          <w:sz w:val="20"/>
          <w:szCs w:val="20"/>
          <w:color w:val="auto"/>
        </w:rPr>
      </w:pPr>
      <w:r>
        <w:rPr>
          <w:rFonts w:ascii="Arial" w:cs="Arial" w:eastAsia="Arial" w:hAnsi="Arial"/>
          <w:sz w:val="18"/>
          <w:szCs w:val="18"/>
          <w:b w:val="1"/>
          <w:bCs w:val="1"/>
          <w:color w:val="auto"/>
        </w:rPr>
        <w:t>SECURITY OWNERSHIP OF MANAGEMENT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 forth below is certain information with respect to beneficial ownership of our common stock as of February 28, 2018, by each director, each executive officer, and by the directors and executive officers as a group. Unless otherwise indicated, each person or member of the group listed has sole voting and investment power with respect to the shares of common stock listed.</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Options</w:t>
            </w: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3"/>
              </w:rPr>
              <w:t>Included</w:t>
            </w:r>
          </w:p>
        </w:tc>
        <w:tc>
          <w:tcPr>
            <w:tcW w:w="136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0"/>
              </w:rPr>
              <w:t>Common Stock</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4"/>
              </w:rPr>
              <w:t>in Beneficial</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84"/>
              </w:rPr>
              <w:t>Shares</w:t>
            </w:r>
          </w:p>
        </w:tc>
        <w:tc>
          <w:tcPr>
            <w:tcW w:w="1340" w:type="dxa"/>
            <w:vAlign w:val="bottom"/>
            <w:gridSpan w:val="2"/>
          </w:tcPr>
          <w:p>
            <w:pPr>
              <w:jc w:val="center"/>
              <w:ind w:right="200"/>
              <w:spacing w:after="0"/>
              <w:rPr>
                <w:sz w:val="20"/>
                <w:szCs w:val="20"/>
                <w:color w:val="auto"/>
              </w:rPr>
            </w:pPr>
            <w:r>
              <w:rPr>
                <w:rFonts w:ascii="Arial" w:cs="Arial" w:eastAsia="Arial" w:hAnsi="Arial"/>
                <w:sz w:val="18"/>
                <w:szCs w:val="18"/>
                <w:color w:val="auto"/>
                <w:w w:val="94"/>
              </w:rPr>
              <w:t>Beneficial</w:t>
            </w:r>
          </w:p>
        </w:tc>
        <w:tc>
          <w:tcPr>
            <w:tcW w:w="1300" w:type="dxa"/>
            <w:vAlign w:val="bottom"/>
            <w:gridSpan w:val="2"/>
          </w:tcPr>
          <w:p>
            <w:pPr>
              <w:jc w:val="right"/>
              <w:ind w:right="340"/>
              <w:spacing w:after="0"/>
              <w:rPr>
                <w:sz w:val="20"/>
                <w:szCs w:val="20"/>
                <w:color w:val="auto"/>
              </w:rPr>
            </w:pPr>
            <w:r>
              <w:rPr>
                <w:rFonts w:ascii="Arial" w:cs="Arial" w:eastAsia="Arial" w:hAnsi="Arial"/>
                <w:sz w:val="18"/>
                <w:szCs w:val="18"/>
                <w:color w:val="auto"/>
              </w:rPr>
              <w:t>Percentage</w:t>
            </w:r>
          </w:p>
        </w:tc>
        <w:tc>
          <w:tcPr>
            <w:tcW w:w="0" w:type="dxa"/>
            <w:vAlign w:val="bottom"/>
          </w:tcPr>
          <w:p>
            <w:pPr>
              <w:spacing w:after="0"/>
              <w:rPr>
                <w:sz w:val="1"/>
                <w:szCs w:val="1"/>
                <w:color w:val="auto"/>
              </w:rPr>
            </w:pPr>
          </w:p>
        </w:tc>
      </w:tr>
      <w:tr>
        <w:trPr>
          <w:trHeight w:val="237"/>
        </w:trPr>
        <w:tc>
          <w:tcPr>
            <w:tcW w:w="6080" w:type="dxa"/>
            <w:vAlign w:val="bottom"/>
            <w:gridSpan w:val="3"/>
          </w:tcPr>
          <w:p>
            <w:pPr>
              <w:spacing w:after="0"/>
              <w:rPr>
                <w:sz w:val="20"/>
                <w:szCs w:val="20"/>
                <w:color w:val="auto"/>
              </w:rPr>
            </w:pPr>
            <w:r>
              <w:rPr>
                <w:rFonts w:ascii="Arial" w:cs="Arial" w:eastAsia="Arial" w:hAnsi="Arial"/>
                <w:sz w:val="18"/>
                <w:szCs w:val="18"/>
                <w:color w:val="auto"/>
              </w:rPr>
              <w:t>Name(1)</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1"/>
              </w:rPr>
              <w:t>Ownership (2)</w:t>
            </w:r>
          </w:p>
        </w:tc>
        <w:tc>
          <w:tcPr>
            <w:tcW w:w="1360" w:type="dxa"/>
            <w:vAlign w:val="bottom"/>
            <w:gridSpan w:val="2"/>
          </w:tcPr>
          <w:p>
            <w:pPr>
              <w:jc w:val="center"/>
              <w:ind w:right="240"/>
              <w:spacing w:after="0"/>
              <w:rPr>
                <w:sz w:val="20"/>
                <w:szCs w:val="20"/>
                <w:color w:val="auto"/>
              </w:rPr>
            </w:pPr>
            <w:r>
              <w:rPr>
                <w:rFonts w:ascii="Arial" w:cs="Arial" w:eastAsia="Arial" w:hAnsi="Arial"/>
                <w:sz w:val="18"/>
                <w:szCs w:val="18"/>
                <w:color w:val="auto"/>
                <w:w w:val="91"/>
              </w:rPr>
              <w:t>Owned</w:t>
            </w:r>
          </w:p>
        </w:tc>
        <w:tc>
          <w:tcPr>
            <w:tcW w:w="1340" w:type="dxa"/>
            <w:vAlign w:val="bottom"/>
            <w:gridSpan w:val="2"/>
          </w:tcPr>
          <w:p>
            <w:pPr>
              <w:jc w:val="center"/>
              <w:ind w:right="220"/>
              <w:spacing w:after="0"/>
              <w:rPr>
                <w:sz w:val="20"/>
                <w:szCs w:val="20"/>
                <w:color w:val="auto"/>
              </w:rPr>
            </w:pPr>
            <w:r>
              <w:rPr>
                <w:rFonts w:ascii="Arial" w:cs="Arial" w:eastAsia="Arial" w:hAnsi="Arial"/>
                <w:sz w:val="18"/>
                <w:szCs w:val="18"/>
                <w:color w:val="auto"/>
                <w:w w:val="92"/>
              </w:rPr>
              <w:t>Ownership</w:t>
            </w:r>
          </w:p>
        </w:tc>
        <w:tc>
          <w:tcPr>
            <w:tcW w:w="1300" w:type="dxa"/>
            <w:vAlign w:val="bottom"/>
            <w:gridSpan w:val="2"/>
          </w:tcPr>
          <w:p>
            <w:pPr>
              <w:jc w:val="right"/>
              <w:ind w:right="440"/>
              <w:spacing w:after="0"/>
              <w:rPr>
                <w:sz w:val="20"/>
                <w:szCs w:val="20"/>
                <w:color w:val="auto"/>
              </w:rPr>
            </w:pPr>
            <w:r>
              <w:rPr>
                <w:rFonts w:ascii="Arial" w:cs="Arial" w:eastAsia="Arial" w:hAnsi="Arial"/>
                <w:sz w:val="18"/>
                <w:szCs w:val="18"/>
                <w:color w:val="auto"/>
              </w:rPr>
              <w:t>of Class</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William J. Febbo</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944,000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Miriam Paramore</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8,690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8,690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Terence J. Hamilton</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300,000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380,413</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680,413</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Lynn Vos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28,000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28,000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Douglas P. Baker</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500,000</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50,000</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550,000</w:t>
            </w: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Gus D. Halas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116,269</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116,269</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Jack Pinney</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812,329</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812,329</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tcPr>
          <w:p>
            <w:pPr>
              <w:spacing w:after="0"/>
              <w:rPr>
                <w:sz w:val="20"/>
                <w:szCs w:val="20"/>
                <w:color w:val="auto"/>
              </w:rPr>
            </w:pPr>
            <w:r>
              <w:rPr>
                <w:rFonts w:ascii="Arial" w:cs="Arial" w:eastAsia="Arial" w:hAnsi="Arial"/>
                <w:sz w:val="18"/>
                <w:szCs w:val="18"/>
                <w:color w:val="auto"/>
              </w:rPr>
              <w:t>James Lang</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25,000</w:t>
            </w: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All Executive Officers and Directors as a group (6 persons)</w:t>
            </w: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1,700,000</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1,464,701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3,164,701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-1937385</wp:posOffset>
            </wp:positionV>
            <wp:extent cx="7246620" cy="1938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938020"/>
                    </a:xfrm>
                    <a:prstGeom prst="rect">
                      <a:avLst/>
                    </a:prstGeom>
                    <a:noFill/>
                  </pic:spPr>
                </pic:pic>
              </a:graphicData>
            </a:graphic>
          </wp:anchor>
        </w:drawing>
      </w:r>
    </w:p>
    <w:p>
      <w:pPr>
        <w:spacing w:after="0" w:line="182"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Less than 1%</w:t>
      </w:r>
    </w:p>
    <w:p>
      <w:pPr>
        <w:spacing w:after="0" w:line="23" w:lineRule="exact"/>
        <w:rPr>
          <w:sz w:val="20"/>
          <w:szCs w:val="20"/>
          <w:color w:val="auto"/>
        </w:rPr>
      </w:pPr>
    </w:p>
    <w:p>
      <w:pPr>
        <w:ind w:left="460" w:hanging="452"/>
        <w:spacing w:after="0"/>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address of each person named in this table is c/o OptimizeRx Corp., 400 Water Street, Suite 200, Rochester, MI 48307.</w:t>
      </w:r>
    </w:p>
    <w:p>
      <w:pPr>
        <w:spacing w:after="0" w:line="9" w:lineRule="exact"/>
        <w:rPr>
          <w:rFonts w:ascii="Arial" w:cs="Arial" w:eastAsia="Arial" w:hAnsi="Arial"/>
          <w:sz w:val="18"/>
          <w:szCs w:val="18"/>
          <w:color w:val="auto"/>
        </w:rPr>
      </w:pPr>
    </w:p>
    <w:p>
      <w:pPr>
        <w:ind w:left="460" w:hanging="452"/>
        <w:spacing w:after="0" w:line="261"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This column lists shares that are subject to options exercisable within sixty (60) days of February 28, 2018, and are included in common stock beneficial ownership pursuant to Rule 13d-3(d)(1) of the Exchange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Certain Relationships and Related Transactions, and Director Independence</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described below or the transactions described under the heading “Executive Compensation” (or with respect to which such information is omitted in accordance with SEC regulations),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7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the year ended December 31, 2015, WPP made a strategic investment in the Company and is a shareholder that owns approximately 20% of the shares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activity between the Company and WPP in 2017 and 2016.</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660" w:type="dxa"/>
            <w:vAlign w:val="bottom"/>
            <w:tcBorders>
              <w:bottom w:val="single" w:sz="8" w:color="CCEEFF"/>
            </w:tcBorders>
          </w:tcPr>
          <w:p>
            <w:pPr>
              <w:spacing w:after="0"/>
              <w:rPr>
                <w:sz w:val="20"/>
                <w:szCs w:val="20"/>
                <w:color w:val="auto"/>
              </w:rPr>
            </w:pPr>
          </w:p>
        </w:tc>
        <w:tc>
          <w:tcPr>
            <w:tcW w:w="416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2017</w:t>
            </w:r>
          </w:p>
        </w:tc>
        <w:tc>
          <w:tcPr>
            <w:tcW w:w="10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2016</w:t>
            </w:r>
          </w:p>
        </w:tc>
        <w:tc>
          <w:tcPr>
            <w:tcW w:w="100" w:type="dxa"/>
            <w:vAlign w:val="bottom"/>
            <w:tcBorders>
              <w:bottom w:val="single" w:sz="8" w:color="CCEEFF"/>
            </w:tcBorders>
          </w:tcPr>
          <w:p>
            <w:pPr>
              <w:spacing w:after="0"/>
              <w:rPr>
                <w:sz w:val="20"/>
                <w:szCs w:val="20"/>
                <w:color w:val="auto"/>
              </w:rPr>
            </w:pP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billings to WPP Agencies</w:t>
            </w:r>
          </w:p>
        </w:tc>
        <w:tc>
          <w:tcPr>
            <w:tcW w:w="416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3,554,168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2,613,942</w:t>
            </w:r>
          </w:p>
        </w:tc>
        <w:tc>
          <w:tcPr>
            <w:tcW w:w="100" w:type="dxa"/>
            <w:vAlign w:val="bottom"/>
            <w:shd w:val="clear" w:color="auto" w:fill="CCEEFF"/>
          </w:tcPr>
          <w:p>
            <w:pPr>
              <w:spacing w:after="0"/>
              <w:rPr>
                <w:sz w:val="18"/>
                <w:szCs w:val="18"/>
                <w:color w:val="auto"/>
              </w:rPr>
            </w:pP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Revenue recognized from WPP Agencies</w:t>
            </w:r>
          </w:p>
        </w:tc>
        <w:tc>
          <w:tcPr>
            <w:tcW w:w="4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3,696,214</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1,542,411</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from WPP Agencies</w:t>
            </w:r>
          </w:p>
        </w:tc>
        <w:tc>
          <w:tcPr>
            <w:tcW w:w="4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1,173,614</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1,108,585</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Rebates given to WPP Agencies</w:t>
            </w:r>
          </w:p>
        </w:tc>
        <w:tc>
          <w:tcPr>
            <w:tcW w:w="4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33,249</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24,519</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Marketing services purchased from WPP Agencies</w:t>
            </w:r>
          </w:p>
        </w:tc>
        <w:tc>
          <w:tcPr>
            <w:tcW w:w="4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54,762</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190,686</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Accounts payable to WPP Agencies</w:t>
            </w:r>
          </w:p>
        </w:tc>
        <w:tc>
          <w:tcPr>
            <w:tcW w:w="4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12,600</w:t>
            </w:r>
          </w:p>
        </w:tc>
      </w:tr>
      <w:tr>
        <w:trPr>
          <w:trHeight w:val="216"/>
        </w:trPr>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Revenue share expense recorded to WPP Agencies</w:t>
            </w:r>
          </w:p>
        </w:tc>
        <w:tc>
          <w:tcPr>
            <w:tcW w:w="440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401,596</w:t>
            </w:r>
          </w:p>
        </w:tc>
        <w:tc>
          <w:tcPr>
            <w:tcW w:w="36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177,372</w:t>
            </w:r>
          </w:p>
        </w:tc>
      </w:tr>
      <w:tr>
        <w:trPr>
          <w:trHeight w:val="230"/>
        </w:trPr>
        <w:tc>
          <w:tcPr>
            <w:tcW w:w="4660" w:type="dxa"/>
            <w:vAlign w:val="bottom"/>
          </w:tcPr>
          <w:p>
            <w:pPr>
              <w:spacing w:after="0"/>
              <w:rPr>
                <w:sz w:val="20"/>
                <w:szCs w:val="20"/>
                <w:color w:val="auto"/>
              </w:rPr>
            </w:pPr>
            <w:r>
              <w:rPr>
                <w:rFonts w:ascii="Arial" w:cs="Arial" w:eastAsia="Arial" w:hAnsi="Arial"/>
                <w:sz w:val="18"/>
                <w:szCs w:val="18"/>
                <w:color w:val="auto"/>
              </w:rPr>
              <w:t>Revenue share expenses owed to WPP Agencies</w:t>
            </w:r>
          </w:p>
        </w:tc>
        <w:tc>
          <w:tcPr>
            <w:tcW w:w="440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447,670</w:t>
            </w:r>
          </w:p>
        </w:tc>
        <w:tc>
          <w:tcPr>
            <w:tcW w:w="36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127,458</w:t>
            </w:r>
          </w:p>
        </w:tc>
      </w:tr>
      <w:tr>
        <w:trPr>
          <w:trHeight w:val="641"/>
        </w:trPr>
        <w:tc>
          <w:tcPr>
            <w:tcW w:w="466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jc w:val="right"/>
              <w:ind w:right="2910"/>
              <w:spacing w:after="0"/>
              <w:rPr>
                <w:sz w:val="20"/>
                <w:szCs w:val="20"/>
                <w:color w:val="auto"/>
              </w:rPr>
            </w:pPr>
            <w:r>
              <w:rPr>
                <w:rFonts w:ascii="Arial" w:cs="Arial" w:eastAsia="Arial" w:hAnsi="Arial"/>
                <w:sz w:val="18"/>
                <w:szCs w:val="18"/>
                <w:color w:val="auto"/>
              </w:rPr>
              <w:t>32</w:t>
            </w: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-1689100</wp:posOffset>
            </wp:positionV>
            <wp:extent cx="7246620" cy="126047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26047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color w:val="auto"/>
        </w:rPr>
        <w:t>On May 9, 2016, we entered into a Separation Agreement and Release with Mr. David Harrell, our prior officer and director, which granted us a standard release of employment claims in consideration for, among other things, the stock payout of $720,415 to Mr. Harrell.</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the same date, we entered into a Corporate Consulting Agreement with Mr. Harrell that sets forth the terms his continued relationship with our company. He remained our employee through May 31, 2016 and the Corporate Consulting Agreement went effective as of June 1, 2016. Under the terms of this agreement, Mr. Harrell agreed to consult for our company for a period of 16 months and he will receive a monthly payment of $15,000, with the potential for up to $54,000 in additional bonus payments during the term of the agreement. This agreement also calls for insurance benefits for seven months. Finally, the agreement contains a Consultant Confidentiality, Invention Assignment and Non-Compete Agreement that contains restrictive covenants that include a one year non-compete following the completion of Mr. Harrell’s 18 months of consulting, and an inventions assignment clause during the term of his consulting relationship.</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May 11, 2017, we entered into a Separation and Stock Purchase Agreement with Mr. Harrell pursuant to which we agreed to repurchase from Mr. Harrell 500,000 shares of our common stock for aggregate consideration of $390,000, representing a purchase price of $0.78 per share.</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Also under the agreement, we agreed that the consulting agreement with Mr. Harrell shall terminate on July 31, 2017, but that his non-compete agreement with us shall extend to July 31, 2019. The agreement also stipulated that Mr. Harrell shall resign as a member of our board of directors effective June 30, 2017.</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On September 24, 2015, we entered into an Investor Rights Agreement with WPP (the “Rights Agreement”), pursuant to which we agreed to the following:</w:t>
      </w:r>
    </w:p>
    <w:p>
      <w:pPr>
        <w:spacing w:after="0" w:line="248" w:lineRule="exact"/>
        <w:rPr>
          <w:sz w:val="20"/>
          <w:szCs w:val="20"/>
          <w:color w:val="auto"/>
        </w:rPr>
      </w:pPr>
    </w:p>
    <w:p>
      <w:pPr>
        <w:ind w:left="660" w:right="2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Demand Registration Rights</w:t>
      </w:r>
      <w:r>
        <w:rPr>
          <w:rFonts w:ascii="Arial" w:cs="Arial" w:eastAsia="Arial" w:hAnsi="Arial"/>
          <w:sz w:val="18"/>
          <w:szCs w:val="18"/>
          <w:color w:val="auto"/>
        </w:rPr>
        <w:t>. We granted WPP registration rights for its shares and any securities acquired in connection with an Amended and</w:t>
      </w:r>
      <w:r>
        <w:rPr>
          <w:rFonts w:ascii="Arial" w:cs="Arial" w:eastAsia="Arial" w:hAnsi="Arial"/>
          <w:sz w:val="18"/>
          <w:szCs w:val="18"/>
          <w:i w:val="1"/>
          <w:iCs w:val="1"/>
          <w:color w:val="auto"/>
        </w:rPr>
        <w:t xml:space="preserve"> </w:t>
      </w:r>
      <w:r>
        <w:rPr>
          <w:rFonts w:ascii="Arial" w:cs="Arial" w:eastAsia="Arial" w:hAnsi="Arial"/>
          <w:sz w:val="18"/>
          <w:szCs w:val="18"/>
          <w:color w:val="auto"/>
        </w:rPr>
        <w:t>Restated Co-Marketing Agreement (described below) after a period of two years.</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Inspection Rights</w:t>
      </w:r>
      <w:r>
        <w:rPr>
          <w:rFonts w:ascii="Arial" w:cs="Arial" w:eastAsia="Arial" w:hAnsi="Arial"/>
          <w:sz w:val="17"/>
          <w:szCs w:val="17"/>
          <w:color w:val="auto"/>
        </w:rPr>
        <w:t>. So long as WPP owns not less than 25% of the shares, we granted WPP an annual right to inspect our books and records.</w:t>
      </w:r>
    </w:p>
    <w:p>
      <w:pPr>
        <w:spacing w:after="0" w:line="2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Observer Rights</w:t>
      </w:r>
      <w:r>
        <w:rPr>
          <w:rFonts w:ascii="Arial" w:cs="Arial" w:eastAsia="Arial" w:hAnsi="Arial"/>
          <w:sz w:val="18"/>
          <w:szCs w:val="18"/>
          <w:color w:val="auto"/>
        </w:rPr>
        <w:t>. So long as WPP owns not less than 25% of the shares, we will allow WPP to choose a representative to attend our board meetings</w:t>
      </w:r>
      <w:r>
        <w:rPr>
          <w:rFonts w:ascii="Arial" w:cs="Arial" w:eastAsia="Arial" w:hAnsi="Arial"/>
          <w:sz w:val="18"/>
          <w:szCs w:val="18"/>
          <w:i w:val="1"/>
          <w:iCs w:val="1"/>
          <w:color w:val="auto"/>
        </w:rPr>
        <w:t xml:space="preserve"> </w:t>
      </w:r>
      <w:r>
        <w:rPr>
          <w:rFonts w:ascii="Arial" w:cs="Arial" w:eastAsia="Arial" w:hAnsi="Arial"/>
          <w:sz w:val="18"/>
          <w:szCs w:val="18"/>
          <w:color w:val="auto"/>
        </w:rPr>
        <w:t>as a nonvoting observer.</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Board Seat</w:t>
      </w:r>
      <w:r>
        <w:rPr>
          <w:rFonts w:ascii="Arial" w:cs="Arial" w:eastAsia="Arial" w:hAnsi="Arial"/>
          <w:sz w:val="18"/>
          <w:szCs w:val="18"/>
          <w:color w:val="auto"/>
        </w:rPr>
        <w:t>. So long as WPP owns not less than 25% of the shares, we agreed to appoint a nominee of WPP as a member of our board of directors.</w:t>
      </w:r>
      <w:r>
        <w:rPr>
          <w:rFonts w:ascii="Arial" w:cs="Arial" w:eastAsia="Arial" w:hAnsi="Arial"/>
          <w:sz w:val="18"/>
          <w:szCs w:val="18"/>
          <w:i w:val="1"/>
          <w:iCs w:val="1"/>
          <w:color w:val="auto"/>
        </w:rPr>
        <w:t xml:space="preserve"> </w:t>
      </w:r>
      <w:r>
        <w:rPr>
          <w:rFonts w:ascii="Arial" w:cs="Arial" w:eastAsia="Arial" w:hAnsi="Arial"/>
          <w:sz w:val="18"/>
          <w:szCs w:val="18"/>
          <w:color w:val="auto"/>
        </w:rPr>
        <w:t>We also agreed to a five member Board of Directors provided that it is not prohibited by the rules and regulations of an exchange that we trade on. We also agreed to enter into an indemnity agreement with the nominee. In January 2017, WPP waived the five member Board limit and the Board was expanded to six (6) Directors.</w:t>
      </w:r>
    </w:p>
    <w:p>
      <w:pPr>
        <w:spacing w:after="0" w:line="21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Budget Review</w:t>
      </w:r>
      <w:r>
        <w:rPr>
          <w:rFonts w:ascii="Arial" w:cs="Arial" w:eastAsia="Arial" w:hAnsi="Arial"/>
          <w:sz w:val="18"/>
          <w:szCs w:val="18"/>
          <w:color w:val="auto"/>
        </w:rPr>
        <w:t>. So long as WPP owns not less than 25% of the shares, we agreed to review our budget plans with WPP’s nominee prior to</w:t>
      </w:r>
      <w:r>
        <w:rPr>
          <w:rFonts w:ascii="Arial" w:cs="Arial" w:eastAsia="Arial" w:hAnsi="Arial"/>
          <w:sz w:val="18"/>
          <w:szCs w:val="18"/>
          <w:i w:val="1"/>
          <w:iCs w:val="1"/>
          <w:color w:val="auto"/>
        </w:rPr>
        <w:t xml:space="preserve"> </w:t>
      </w:r>
      <w:r>
        <w:rPr>
          <w:rFonts w:ascii="Arial" w:cs="Arial" w:eastAsia="Arial" w:hAnsi="Arial"/>
          <w:sz w:val="18"/>
          <w:szCs w:val="18"/>
          <w:color w:val="auto"/>
        </w:rPr>
        <w:t>submission to the Board of Directors, at the request of WPP.</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i w:val="1"/>
          <w:iCs w:val="1"/>
          <w:color w:val="auto"/>
        </w:rPr>
        <w:t>Right of First Refusal</w:t>
      </w:r>
      <w:r>
        <w:rPr>
          <w:rFonts w:ascii="Arial" w:cs="Arial" w:eastAsia="Arial" w:hAnsi="Arial"/>
          <w:sz w:val="17"/>
          <w:szCs w:val="17"/>
          <w:color w:val="auto"/>
        </w:rPr>
        <w:t>. We agreed that, in the event that we propose to sell new securities, we will first offer such new securities to WPP.</w:t>
      </w:r>
    </w:p>
    <w:p>
      <w:pPr>
        <w:spacing w:after="0" w:line="263"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i w:val="1"/>
          <w:iCs w:val="1"/>
          <w:color w:val="auto"/>
        </w:rPr>
        <w:t>Special Approval Matters</w:t>
      </w:r>
      <w:r>
        <w:rPr>
          <w:rFonts w:ascii="Arial" w:cs="Arial" w:eastAsia="Arial" w:hAnsi="Arial"/>
          <w:sz w:val="18"/>
          <w:szCs w:val="18"/>
          <w:color w:val="auto"/>
        </w:rPr>
        <w:t>. So long as WPP owns not less than 25% of the shares, and provided that it is not prohibited by the rules and regulations of</w:t>
      </w:r>
      <w:r>
        <w:rPr>
          <w:rFonts w:ascii="Arial" w:cs="Arial" w:eastAsia="Arial" w:hAnsi="Arial"/>
          <w:sz w:val="18"/>
          <w:szCs w:val="18"/>
          <w:i w:val="1"/>
          <w:iCs w:val="1"/>
          <w:color w:val="auto"/>
        </w:rPr>
        <w:t xml:space="preserve"> </w:t>
      </w:r>
      <w:r>
        <w:rPr>
          <w:rFonts w:ascii="Arial" w:cs="Arial" w:eastAsia="Arial" w:hAnsi="Arial"/>
          <w:sz w:val="18"/>
          <w:szCs w:val="18"/>
          <w:color w:val="auto"/>
        </w:rPr>
        <w:t>an exchange that we trade on, we agreed that 80% Board approval will be required for certain decisions, including:</w:t>
      </w:r>
    </w:p>
    <w:p>
      <w:pPr>
        <w:spacing w:after="0" w:line="170" w:lineRule="exact"/>
        <w:rPr>
          <w:sz w:val="20"/>
          <w:szCs w:val="20"/>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incurrence of any indebtedness in excess of $1.5 million in the aggregate during any fiscal year</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sale, transfer or other disposition of all or substantially all of our assets;</w:t>
      </w:r>
    </w:p>
    <w:p>
      <w:pPr>
        <w:spacing w:after="0" w:line="252"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acquisition of any assets or properties (in one or more related transactions) for cash or otherwise for an amount in excess of $1.5 million in the aggregate during any fiscal year;</w:t>
      </w:r>
    </w:p>
    <w:p>
      <w:pPr>
        <w:spacing w:after="0" w:line="197" w:lineRule="exact"/>
        <w:rPr>
          <w:rFonts w:ascii="Arial" w:cs="Arial" w:eastAsia="Arial" w:hAnsi="Arial"/>
          <w:sz w:val="18"/>
          <w:szCs w:val="18"/>
          <w:color w:val="auto"/>
        </w:rPr>
      </w:pPr>
    </w:p>
    <w:p>
      <w:pPr>
        <w:ind w:left="1300" w:right="20" w:hanging="320"/>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capital expenditures in excess of $1.5 million individually (or in the aggregate if related to an integrated program of activities) or in excess of $1.5 million in the aggregate during any fiscal year;</w:t>
      </w:r>
    </w:p>
    <w:p>
      <w:pPr>
        <w:spacing w:after="0" w:line="19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making, or permitting any subsidiary to make, loans to, investments in, or purchasing, or permitting any subsidiary to purchase, any stock or other securities in another corporation, joint venture, partnership or other entity;</w:t>
      </w:r>
    </w:p>
    <w:p>
      <w:pPr>
        <w:spacing w:after="0" w:line="197" w:lineRule="exact"/>
        <w:rPr>
          <w:rFonts w:ascii="Arial" w:cs="Arial" w:eastAsia="Arial" w:hAnsi="Arial"/>
          <w:sz w:val="18"/>
          <w:szCs w:val="18"/>
          <w:color w:val="auto"/>
        </w:rPr>
      </w:pPr>
    </w:p>
    <w:p>
      <w:pPr>
        <w:ind w:left="1300" w:hanging="320"/>
        <w:spacing w:after="0" w:line="277"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commencement or settlement of any lawsuit, arbitration or other legal proceeding related to our intellectual property or involving an amount in controversy greater than $1.5 million; and</w:t>
      </w:r>
    </w:p>
    <w:p>
      <w:pPr>
        <w:spacing w:after="0" w:line="197" w:lineRule="exact"/>
        <w:rPr>
          <w:rFonts w:ascii="Arial" w:cs="Arial" w:eastAsia="Arial" w:hAnsi="Arial"/>
          <w:sz w:val="18"/>
          <w:szCs w:val="18"/>
          <w:color w:val="auto"/>
        </w:rPr>
      </w:pPr>
    </w:p>
    <w:p>
      <w:pPr>
        <w:jc w:val="both"/>
        <w:ind w:left="1300" w:hanging="320"/>
        <w:spacing w:after="0" w:line="264"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issuance of new securities, except for securities issued under an equity incentive plan and any issuance of common stock to vendors, advisors, financial institutions, suppliers or joint ventures that do not exceed, individually or in the aggregate 5% of our then issued and outstanding capital stock.</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both"/>
        <w:spacing w:after="0" w:line="279" w:lineRule="auto"/>
        <w:rPr>
          <w:sz w:val="20"/>
          <w:szCs w:val="20"/>
          <w:color w:val="auto"/>
        </w:rPr>
      </w:pPr>
      <w:r>
        <w:rPr>
          <w:rFonts w:ascii="Arial" w:cs="Arial" w:eastAsia="Arial" w:hAnsi="Arial"/>
          <w:sz w:val="17"/>
          <w:szCs w:val="17"/>
          <w:color w:val="auto"/>
        </w:rPr>
        <w:t>On September 24, 2015, we amended and restated an existing Co-Marketing Agreement with Grey Healthcare Group, LLC (“GHG”) an affiliate of WPP (the “Amended and Restated Co-Marketing Agreement”). The Amended and Restated Co-Marketing Agreement was amended to give the GHG the option to receive all or part of the compensation due under the agreement in shares of our common stock. Shares issuable under the Amended and Restated Co-Marketing Agreement will be issued to WPP or any other affiliate of GHG designated in writing by GHG at the following rates:</w:t>
      </w:r>
    </w:p>
    <w:p>
      <w:pPr>
        <w:spacing w:after="0" w:line="171" w:lineRule="exact"/>
        <w:rPr>
          <w:sz w:val="20"/>
          <w:szCs w:val="20"/>
          <w:color w:val="auto"/>
        </w:rPr>
      </w:pPr>
    </w:p>
    <w:p>
      <w:pPr>
        <w:ind w:left="6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Up until June 30, 2016, the number of shares of common stock was equal to GHG’s share of net revenues received for sales of new services to GHG or Company clients (“GHG Net Revenues”) divided by $0.7875.</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After June 30, 2016, we will issue the number of shares of common stock equal to the GHG Net Revenues divided by a price equal to 80% multiplied by the average trading price of one share of common stock during the 30-trading day period immediately prior to the date of the most recent statement of GHG Net Revenues set forth by the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Principal Accounting Fees and Services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Below are tables of Audit Fees (amounts in US$) billed by our auditors in connection with the audit of the Company’s annual financial statements and review of the quarterly financial statements for the years ended: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KLJ &amp; Associates, LLP</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8"/>
        </w:trPr>
        <w:tc>
          <w:tcPr>
            <w:tcW w:w="4820" w:type="dxa"/>
            <w:vAlign w:val="bottom"/>
          </w:tcPr>
          <w:p>
            <w:pPr>
              <w:jc w:val="center"/>
              <w:ind w:left="1050"/>
              <w:spacing w:after="0"/>
              <w:rPr>
                <w:sz w:val="20"/>
                <w:szCs w:val="20"/>
                <w:color w:val="auto"/>
              </w:rPr>
            </w:pPr>
            <w:r>
              <w:rPr>
                <w:rFonts w:ascii="Arial" w:cs="Arial" w:eastAsia="Arial" w:hAnsi="Arial"/>
                <w:sz w:val="18"/>
                <w:szCs w:val="18"/>
                <w:color w:val="auto"/>
                <w:w w:val="91"/>
              </w:rPr>
              <w:t>Financial Statements for the</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Audit Related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820" w:type="dxa"/>
            <w:vAlign w:val="bottom"/>
          </w:tcPr>
          <w:p>
            <w:pPr>
              <w:jc w:val="center"/>
              <w:ind w:left="105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color w:val="auto"/>
              </w:rPr>
              <w:t>Audit Services</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Fees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Tax Fees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Other Fees</w:t>
            </w:r>
          </w:p>
        </w:tc>
      </w:tr>
      <w:tr>
        <w:trPr>
          <w:trHeight w:val="216"/>
        </w:trPr>
        <w:tc>
          <w:tcPr>
            <w:tcW w:w="4820" w:type="dxa"/>
            <w:vAlign w:val="bottom"/>
            <w:tcBorders>
              <w:top w:val="single" w:sz="8" w:color="auto"/>
            </w:tcBorders>
            <w:shd w:val="clear" w:color="auto" w:fill="CCEEFF"/>
          </w:tcPr>
          <w:p>
            <w:pPr>
              <w:jc w:val="center"/>
              <w:ind w:left="1050"/>
              <w:spacing w:after="0"/>
              <w:rPr>
                <w:sz w:val="20"/>
                <w:szCs w:val="20"/>
                <w:color w:val="auto"/>
              </w:rPr>
            </w:pPr>
            <w:r>
              <w:rPr>
                <w:rFonts w:ascii="Arial" w:cs="Arial" w:eastAsia="Arial" w:hAnsi="Arial"/>
                <w:sz w:val="18"/>
                <w:szCs w:val="18"/>
                <w:color w:val="auto"/>
                <w:w w:val="89"/>
              </w:rPr>
              <w:t>2017</w:t>
            </w: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820" w:type="dxa"/>
            <w:vAlign w:val="bottom"/>
          </w:tcPr>
          <w:p>
            <w:pPr>
              <w:jc w:val="center"/>
              <w:ind w:left="1050"/>
              <w:spacing w:after="0"/>
              <w:rPr>
                <w:sz w:val="20"/>
                <w:szCs w:val="20"/>
                <w:color w:val="auto"/>
              </w:rPr>
            </w:pPr>
            <w:r>
              <w:rPr>
                <w:rFonts w:ascii="Arial" w:cs="Arial" w:eastAsia="Arial" w:hAnsi="Arial"/>
                <w:sz w:val="18"/>
                <w:szCs w:val="18"/>
                <w:color w:val="auto"/>
                <w:w w:val="89"/>
              </w:rPr>
              <w:t>2016</w:t>
            </w:r>
          </w:p>
        </w:tc>
        <w:tc>
          <w:tcPr>
            <w:tcW w:w="1640" w:type="dxa"/>
            <w:vAlign w:val="bottom"/>
            <w:gridSpan w:val="3"/>
          </w:tcPr>
          <w:p>
            <w:pPr>
              <w:jc w:val="right"/>
              <w:ind w:right="21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43,500</w:t>
            </w:r>
          </w:p>
        </w:tc>
        <w:tc>
          <w:tcPr>
            <w:tcW w:w="1180" w:type="dxa"/>
            <w:vAlign w:val="bottom"/>
            <w:gridSpan w:val="2"/>
          </w:tcPr>
          <w:p>
            <w:pPr>
              <w:jc w:val="right"/>
              <w:ind w:right="895"/>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418"/>
        </w:trPr>
        <w:tc>
          <w:tcPr>
            <w:tcW w:w="4820" w:type="dxa"/>
            <w:vAlign w:val="bottom"/>
          </w:tcPr>
          <w:p>
            <w:pPr>
              <w:spacing w:after="0"/>
              <w:rPr>
                <w:sz w:val="20"/>
                <w:szCs w:val="20"/>
                <w:color w:val="auto"/>
              </w:rPr>
            </w:pPr>
            <w:r>
              <w:rPr>
                <w:rFonts w:ascii="Arial" w:cs="Arial" w:eastAsia="Arial" w:hAnsi="Arial"/>
                <w:sz w:val="18"/>
                <w:szCs w:val="18"/>
                <w:color w:val="auto"/>
              </w:rPr>
              <w:t>Sadler Gibb &amp; Associates</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4820" w:type="dxa"/>
            <w:vAlign w:val="bottom"/>
          </w:tcPr>
          <w:p>
            <w:pPr>
              <w:jc w:val="center"/>
              <w:ind w:left="1050"/>
              <w:spacing w:after="0"/>
              <w:rPr>
                <w:sz w:val="20"/>
                <w:szCs w:val="20"/>
                <w:color w:val="auto"/>
              </w:rPr>
            </w:pPr>
            <w:r>
              <w:rPr>
                <w:rFonts w:ascii="Arial" w:cs="Arial" w:eastAsia="Arial" w:hAnsi="Arial"/>
                <w:sz w:val="18"/>
                <w:szCs w:val="18"/>
                <w:color w:val="auto"/>
                <w:w w:val="91"/>
              </w:rPr>
              <w:t>Financial Statements for the</w:t>
            </w: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Audit Related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7"/>
        </w:trPr>
        <w:tc>
          <w:tcPr>
            <w:tcW w:w="4820" w:type="dxa"/>
            <w:vAlign w:val="bottom"/>
          </w:tcPr>
          <w:p>
            <w:pPr>
              <w:jc w:val="center"/>
              <w:ind w:left="1050"/>
              <w:spacing w:after="0"/>
              <w:rPr>
                <w:sz w:val="20"/>
                <w:szCs w:val="20"/>
                <w:color w:val="auto"/>
              </w:rPr>
            </w:pPr>
            <w:r>
              <w:rPr>
                <w:rFonts w:ascii="Arial" w:cs="Arial" w:eastAsia="Arial" w:hAnsi="Arial"/>
                <w:sz w:val="18"/>
                <w:szCs w:val="18"/>
                <w:color w:val="auto"/>
                <w:w w:val="88"/>
              </w:rPr>
              <w:t>Year Ended December 31</w:t>
            </w: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3"/>
          </w:tcPr>
          <w:p>
            <w:pPr>
              <w:ind w:left="40"/>
              <w:spacing w:after="0"/>
              <w:rPr>
                <w:sz w:val="20"/>
                <w:szCs w:val="20"/>
                <w:color w:val="auto"/>
              </w:rPr>
            </w:pPr>
            <w:r>
              <w:rPr>
                <w:rFonts w:ascii="Arial" w:cs="Arial" w:eastAsia="Arial" w:hAnsi="Arial"/>
                <w:sz w:val="18"/>
                <w:szCs w:val="18"/>
                <w:color w:val="auto"/>
              </w:rPr>
              <w:t>Audit Services</w:t>
            </w:r>
          </w:p>
        </w:tc>
        <w:tc>
          <w:tcPr>
            <w:tcW w:w="120" w:type="dxa"/>
            <w:vAlign w:val="bottom"/>
          </w:tcPr>
          <w:p>
            <w:pPr>
              <w:spacing w:after="0"/>
              <w:rPr>
                <w:sz w:val="20"/>
                <w:szCs w:val="20"/>
                <w:color w:val="auto"/>
              </w:rPr>
            </w:pPr>
          </w:p>
        </w:tc>
        <w:tc>
          <w:tcPr>
            <w:tcW w:w="1060" w:type="dxa"/>
            <w:vAlign w:val="bottom"/>
          </w:tcPr>
          <w:p>
            <w:pPr>
              <w:jc w:val="center"/>
              <w:spacing w:after="0"/>
              <w:rPr>
                <w:sz w:val="20"/>
                <w:szCs w:val="20"/>
                <w:color w:val="auto"/>
              </w:rPr>
            </w:pPr>
            <w:r>
              <w:rPr>
                <w:rFonts w:ascii="Arial" w:cs="Arial" w:eastAsia="Arial" w:hAnsi="Arial"/>
                <w:sz w:val="18"/>
                <w:szCs w:val="18"/>
                <w:color w:val="auto"/>
                <w:w w:val="79"/>
              </w:rPr>
              <w:t>Fees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8"/>
                <w:szCs w:val="18"/>
                <w:color w:val="auto"/>
                <w:w w:val="93"/>
              </w:rPr>
              <w:t>Tax Fees</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gridSpan w:val="2"/>
          </w:tcPr>
          <w:p>
            <w:pPr>
              <w:ind w:left="60"/>
              <w:spacing w:after="0"/>
              <w:rPr>
                <w:sz w:val="20"/>
                <w:szCs w:val="20"/>
                <w:color w:val="auto"/>
              </w:rPr>
            </w:pPr>
            <w:r>
              <w:rPr>
                <w:rFonts w:ascii="Arial" w:cs="Arial" w:eastAsia="Arial" w:hAnsi="Arial"/>
                <w:sz w:val="18"/>
                <w:szCs w:val="18"/>
                <w:color w:val="auto"/>
              </w:rPr>
              <w:t>Other Fees</w:t>
            </w:r>
          </w:p>
        </w:tc>
      </w:tr>
      <w:tr>
        <w:trPr>
          <w:trHeight w:val="216"/>
        </w:trPr>
        <w:tc>
          <w:tcPr>
            <w:tcW w:w="4820" w:type="dxa"/>
            <w:vAlign w:val="bottom"/>
            <w:tcBorders>
              <w:top w:val="single" w:sz="8" w:color="auto"/>
            </w:tcBorders>
            <w:shd w:val="clear" w:color="auto" w:fill="CCEEFF"/>
          </w:tcPr>
          <w:p>
            <w:pPr>
              <w:jc w:val="center"/>
              <w:ind w:left="1050"/>
              <w:spacing w:after="0"/>
              <w:rPr>
                <w:sz w:val="20"/>
                <w:szCs w:val="20"/>
                <w:color w:val="auto"/>
              </w:rPr>
            </w:pPr>
            <w:r>
              <w:rPr>
                <w:rFonts w:ascii="Arial" w:cs="Arial" w:eastAsia="Arial" w:hAnsi="Arial"/>
                <w:sz w:val="18"/>
                <w:szCs w:val="18"/>
                <w:color w:val="auto"/>
                <w:w w:val="89"/>
              </w:rPr>
              <w:t>2017</w:t>
            </w:r>
          </w:p>
        </w:tc>
        <w:tc>
          <w:tcPr>
            <w:tcW w:w="1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ind w:right="217"/>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ind w:right="895"/>
              <w:spacing w:after="0"/>
              <w:rPr>
                <w:sz w:val="20"/>
                <w:szCs w:val="20"/>
                <w:color w:val="auto"/>
              </w:rPr>
            </w:pPr>
            <w:r>
              <w:rPr>
                <w:rFonts w:ascii="Arial" w:cs="Arial" w:eastAsia="Arial" w:hAnsi="Arial"/>
                <w:sz w:val="15"/>
                <w:szCs w:val="15"/>
                <w:color w:val="auto"/>
                <w:w w:val="71"/>
              </w:rPr>
              <w:t>$</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4820" w:type="dxa"/>
            <w:vAlign w:val="bottom"/>
          </w:tcPr>
          <w:p>
            <w:pPr>
              <w:jc w:val="center"/>
              <w:ind w:left="1050"/>
              <w:spacing w:after="0"/>
              <w:rPr>
                <w:sz w:val="20"/>
                <w:szCs w:val="20"/>
                <w:color w:val="auto"/>
              </w:rPr>
            </w:pPr>
            <w:r>
              <w:rPr>
                <w:rFonts w:ascii="Arial" w:cs="Arial" w:eastAsia="Arial" w:hAnsi="Arial"/>
                <w:sz w:val="18"/>
                <w:szCs w:val="18"/>
                <w:color w:val="auto"/>
                <w:w w:val="89"/>
              </w:rPr>
              <w:t>2016</w:t>
            </w:r>
          </w:p>
        </w:tc>
        <w:tc>
          <w:tcPr>
            <w:tcW w:w="1640" w:type="dxa"/>
            <w:vAlign w:val="bottom"/>
            <w:gridSpan w:val="3"/>
          </w:tcPr>
          <w:p>
            <w:pPr>
              <w:jc w:val="right"/>
              <w:ind w:right="217"/>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895"/>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641"/>
        </w:trPr>
        <w:tc>
          <w:tcPr>
            <w:tcW w:w="48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-1971675</wp:posOffset>
            </wp:positionV>
            <wp:extent cx="7246620" cy="5657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5657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-994410</wp:posOffset>
            </wp:positionV>
            <wp:extent cx="7246620" cy="5657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565785"/>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6" w:name="page57"/>
    <w:bookmarkEnd w:id="56"/>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Exhibits, Financial Statements Schedules</w:t>
      </w:r>
    </w:p>
    <w:p>
      <w:pPr>
        <w:spacing w:after="0" w:line="229" w:lineRule="exact"/>
        <w:rPr>
          <w:sz w:val="20"/>
          <w:szCs w:val="20"/>
          <w:color w:val="auto"/>
        </w:rPr>
      </w:pPr>
    </w:p>
    <w:p>
      <w:pPr>
        <w:ind w:left="1300" w:hanging="644"/>
        <w:spacing w:after="0"/>
        <w:tabs>
          <w:tab w:leader="none" w:pos="1300" w:val="left"/>
        </w:tabs>
        <w:numPr>
          <w:ilvl w:val="0"/>
          <w:numId w:val="36"/>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Statements and Schedules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financial statements and schedules listed below are included in this Form 10-K.</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Statements (See Item 8)</w:t>
      </w:r>
    </w:p>
    <w:p>
      <w:pPr>
        <w:spacing w:after="0" w:line="225" w:lineRule="exact"/>
        <w:rPr>
          <w:sz w:val="20"/>
          <w:szCs w:val="20"/>
          <w:color w:val="auto"/>
        </w:rPr>
      </w:pPr>
    </w:p>
    <w:p>
      <w:pPr>
        <w:ind w:left="1300" w:hanging="644"/>
        <w:spacing w:after="0"/>
        <w:tabs>
          <w:tab w:leader="none" w:pos="1300" w:val="left"/>
        </w:tabs>
        <w:numPr>
          <w:ilvl w:val="0"/>
          <w:numId w:val="37"/>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ectPr>
          <w:pgSz w:w="11900" w:h="16838" w:orient="portrait"/>
          <w:cols w:equalWidth="0" w:num="1">
            <w:col w:w="11400"/>
          </w:cols>
          <w:pgMar w:left="240" w:top="904" w:right="259" w:bottom="1440" w:gutter="0" w:footer="0" w:header="0"/>
        </w:sectPr>
      </w:pPr>
    </w:p>
    <w:p>
      <w:pPr>
        <w:spacing w:after="0" w:line="22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b w:val="1"/>
          <w:bCs w:val="1"/>
          <w:color w:val="auto"/>
        </w:rPr>
        <w:t xml:space="preserve">Exhibit Number </w:t>
      </w: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-168910</wp:posOffset>
            </wp:positionV>
            <wp:extent cx="608965"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08965" cy="1714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10.6</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10.8</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10.9</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10.10</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10.11</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10.14</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10.15</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14.1</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21.1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31.1**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560185"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560185" cy="17145"/>
                    </a:xfrm>
                    <a:prstGeom prst="rect">
                      <a:avLst/>
                    </a:prstGeom>
                    <a:noFill/>
                  </pic:spPr>
                </pic:pic>
              </a:graphicData>
            </a:graphic>
          </wp:anchor>
        </w:drawing>
      </w:r>
    </w:p>
    <w:p>
      <w:pPr>
        <w:spacing w:after="0"/>
        <w:rPr>
          <w:rFonts w:ascii="Arial" w:cs="Arial" w:eastAsia="Arial" w:hAnsi="Arial"/>
          <w:sz w:val="18"/>
          <w:szCs w:val="18"/>
          <w:u w:val="single" w:color="auto"/>
          <w:color w:val="0000EE"/>
        </w:rPr>
      </w:pPr>
      <w:hyperlink r:id="rId85">
        <w:r>
          <w:rPr>
            <w:rFonts w:ascii="Arial" w:cs="Arial" w:eastAsia="Arial" w:hAnsi="Arial"/>
            <w:sz w:val="18"/>
            <w:szCs w:val="18"/>
            <w:u w:val="single" w:color="auto"/>
            <w:color w:val="0000EE"/>
          </w:rPr>
          <w:t>Articles of Incorporation of OptimizeRx Corporation (the “Company”)</w:t>
        </w:r>
        <w:r>
          <w:rPr>
            <w:rFonts w:ascii="Arial" w:cs="Arial" w:eastAsia="Arial" w:hAnsi="Arial"/>
            <w:sz w:val="30"/>
            <w:szCs w:val="30"/>
            <w:u w:val="single" w:color="auto"/>
            <w:color w:val="0000EE"/>
            <w:vertAlign w:val="superscript"/>
          </w:rPr>
          <w:t>1</w:t>
        </w:r>
      </w:hyperlink>
    </w:p>
    <w:p>
      <w:pPr>
        <w:spacing w:after="0" w:line="180" w:lineRule="auto"/>
        <w:rPr>
          <w:rFonts w:ascii="Arial" w:cs="Arial" w:eastAsia="Arial" w:hAnsi="Arial"/>
          <w:sz w:val="16"/>
          <w:szCs w:val="16"/>
          <w:u w:val="single" w:color="auto"/>
          <w:color w:val="0000EE"/>
        </w:rPr>
      </w:pPr>
      <w:hyperlink r:id="rId86">
        <w:r>
          <w:rPr>
            <w:rFonts w:ascii="Arial" w:cs="Arial" w:eastAsia="Arial" w:hAnsi="Arial"/>
            <w:sz w:val="16"/>
            <w:szCs w:val="16"/>
            <w:u w:val="single" w:color="auto"/>
            <w:color w:val="0000EE"/>
          </w:rPr>
          <w:t>Amended and Restated Bylaws of the Company</w:t>
        </w:r>
        <w:r>
          <w:rPr>
            <w:rFonts w:ascii="Arial" w:cs="Arial" w:eastAsia="Arial" w:hAnsi="Arial"/>
            <w:sz w:val="25"/>
            <w:szCs w:val="25"/>
            <w:u w:val="single" w:color="auto"/>
            <w:color w:val="0000EE"/>
            <w:vertAlign w:val="superscript"/>
          </w:rPr>
          <w:t>2</w:t>
        </w:r>
      </w:hyperlink>
    </w:p>
    <w:p>
      <w:pPr>
        <w:spacing w:after="0" w:line="207" w:lineRule="auto"/>
        <w:rPr>
          <w:rFonts w:ascii="Arial" w:cs="Arial" w:eastAsia="Arial" w:hAnsi="Arial"/>
          <w:sz w:val="18"/>
          <w:szCs w:val="18"/>
          <w:u w:val="single" w:color="auto"/>
          <w:color w:val="0000EE"/>
        </w:rPr>
      </w:pPr>
      <w:hyperlink r:id="rId87">
        <w:r>
          <w:rPr>
            <w:rFonts w:ascii="Arial" w:cs="Arial" w:eastAsia="Arial" w:hAnsi="Arial"/>
            <w:sz w:val="18"/>
            <w:szCs w:val="18"/>
            <w:u w:val="single" w:color="auto"/>
            <w:color w:val="0000EE"/>
          </w:rPr>
          <w:t>Certificate of Designation, filed on September 5, 2008 with the Secretary of State of the State of Nevada by the Company</w:t>
        </w:r>
        <w:r>
          <w:rPr>
            <w:rFonts w:ascii="Arial" w:cs="Arial" w:eastAsia="Arial" w:hAnsi="Arial"/>
            <w:sz w:val="30"/>
            <w:szCs w:val="30"/>
            <w:u w:val="single" w:color="auto"/>
            <w:color w:val="0000EE"/>
            <w:vertAlign w:val="superscript"/>
          </w:rPr>
          <w:t>1</w:t>
        </w:r>
      </w:hyperlink>
    </w:p>
    <w:p>
      <w:pPr>
        <w:spacing w:after="0" w:line="184" w:lineRule="auto"/>
        <w:rPr>
          <w:rFonts w:ascii="Arial" w:cs="Arial" w:eastAsia="Arial" w:hAnsi="Arial"/>
          <w:sz w:val="18"/>
          <w:szCs w:val="18"/>
          <w:u w:val="single" w:color="auto"/>
          <w:color w:val="0000EE"/>
        </w:rPr>
      </w:pPr>
      <w:hyperlink r:id="rId88">
        <w:r>
          <w:rPr>
            <w:rFonts w:ascii="Arial" w:cs="Arial" w:eastAsia="Arial" w:hAnsi="Arial"/>
            <w:sz w:val="18"/>
            <w:szCs w:val="18"/>
            <w:u w:val="single" w:color="auto"/>
            <w:color w:val="0000EE"/>
          </w:rPr>
          <w:t>Certificate of Designation, filed on June 3, 2010 with the Secretary of State of the State of Nevada by the Company</w:t>
        </w:r>
        <w:r>
          <w:rPr>
            <w:rFonts w:ascii="Arial" w:cs="Arial" w:eastAsia="Arial" w:hAnsi="Arial"/>
            <w:sz w:val="29"/>
            <w:szCs w:val="29"/>
            <w:u w:val="single" w:color="auto"/>
            <w:color w:val="0000EE"/>
            <w:vertAlign w:val="superscript"/>
          </w:rPr>
          <w:t>3</w:t>
        </w:r>
      </w:hyperlink>
    </w:p>
    <w:p>
      <w:pPr>
        <w:spacing w:after="0" w:line="185" w:lineRule="auto"/>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Securities Purchase Agreement</w:t>
        </w:r>
        <w:r>
          <w:rPr>
            <w:rFonts w:ascii="Arial" w:cs="Arial" w:eastAsia="Arial" w:hAnsi="Arial"/>
            <w:sz w:val="29"/>
            <w:szCs w:val="29"/>
            <w:u w:val="single" w:color="auto"/>
            <w:color w:val="0000EE"/>
            <w:vertAlign w:val="superscript"/>
          </w:rPr>
          <w:t>4</w:t>
        </w:r>
      </w:hyperlink>
    </w:p>
    <w:p>
      <w:pPr>
        <w:spacing w:after="0" w:line="185" w:lineRule="auto"/>
        <w:rPr>
          <w:rFonts w:ascii="Arial" w:cs="Arial" w:eastAsia="Arial" w:hAnsi="Arial"/>
          <w:sz w:val="18"/>
          <w:szCs w:val="18"/>
          <w:u w:val="single" w:color="auto"/>
          <w:color w:val="0000EE"/>
        </w:rPr>
      </w:pPr>
      <w:hyperlink r:id="rId90">
        <w:r>
          <w:rPr>
            <w:rFonts w:ascii="Arial" w:cs="Arial" w:eastAsia="Arial" w:hAnsi="Arial"/>
            <w:sz w:val="18"/>
            <w:szCs w:val="18"/>
            <w:u w:val="single" w:color="auto"/>
            <w:color w:val="0000EE"/>
          </w:rPr>
          <w:t>Registration Rights Agreement</w:t>
        </w:r>
        <w:r>
          <w:rPr>
            <w:rFonts w:ascii="Arial" w:cs="Arial" w:eastAsia="Arial" w:hAnsi="Arial"/>
            <w:sz w:val="29"/>
            <w:szCs w:val="29"/>
            <w:u w:val="single" w:color="auto"/>
            <w:color w:val="0000EE"/>
            <w:vertAlign w:val="superscript"/>
          </w:rPr>
          <w:t>4</w:t>
        </w:r>
      </w:hyperlink>
    </w:p>
    <w:p>
      <w:pPr>
        <w:spacing w:after="0" w:line="184" w:lineRule="auto"/>
        <w:rPr>
          <w:rFonts w:ascii="Arial" w:cs="Arial" w:eastAsia="Arial" w:hAnsi="Arial"/>
          <w:sz w:val="18"/>
          <w:szCs w:val="18"/>
          <w:u w:val="single" w:color="auto"/>
          <w:color w:val="0000EE"/>
        </w:rPr>
      </w:pPr>
      <w:hyperlink r:id="rId91">
        <w:r>
          <w:rPr>
            <w:rFonts w:ascii="Arial" w:cs="Arial" w:eastAsia="Arial" w:hAnsi="Arial"/>
            <w:sz w:val="18"/>
            <w:szCs w:val="18"/>
            <w:u w:val="single" w:color="auto"/>
            <w:color w:val="0000EE"/>
          </w:rPr>
          <w:t>Investor Agreement</w:t>
        </w:r>
        <w:r>
          <w:rPr>
            <w:rFonts w:ascii="Arial" w:cs="Arial" w:eastAsia="Arial" w:hAnsi="Arial"/>
            <w:sz w:val="29"/>
            <w:szCs w:val="29"/>
            <w:u w:val="single" w:color="auto"/>
            <w:color w:val="0000EE"/>
            <w:vertAlign w:val="superscript"/>
          </w:rPr>
          <w:t>4</w:t>
        </w:r>
      </w:hyperlink>
    </w:p>
    <w:p>
      <w:pPr>
        <w:spacing w:after="0" w:line="185" w:lineRule="auto"/>
        <w:rPr>
          <w:rFonts w:ascii="Arial" w:cs="Arial" w:eastAsia="Arial" w:hAnsi="Arial"/>
          <w:sz w:val="18"/>
          <w:szCs w:val="18"/>
          <w:u w:val="single" w:color="auto"/>
          <w:color w:val="0000EE"/>
        </w:rPr>
      </w:pPr>
      <w:hyperlink r:id="rId92">
        <w:r>
          <w:rPr>
            <w:rFonts w:ascii="Arial" w:cs="Arial" w:eastAsia="Arial" w:hAnsi="Arial"/>
            <w:sz w:val="18"/>
            <w:szCs w:val="18"/>
            <w:u w:val="single" w:color="auto"/>
            <w:color w:val="0000EE"/>
          </w:rPr>
          <w:t>Warrant Agreement</w:t>
        </w:r>
        <w:r>
          <w:rPr>
            <w:rFonts w:ascii="Arial" w:cs="Arial" w:eastAsia="Arial" w:hAnsi="Arial"/>
            <w:sz w:val="29"/>
            <w:szCs w:val="29"/>
            <w:u w:val="single" w:color="auto"/>
            <w:color w:val="0000EE"/>
            <w:vertAlign w:val="superscript"/>
          </w:rPr>
          <w:t>5</w:t>
        </w:r>
      </w:hyperlink>
    </w:p>
    <w:p>
      <w:pPr>
        <w:spacing w:after="0" w:line="180" w:lineRule="auto"/>
        <w:rPr>
          <w:rFonts w:ascii="Arial" w:cs="Arial" w:eastAsia="Arial" w:hAnsi="Arial"/>
          <w:sz w:val="16"/>
          <w:szCs w:val="16"/>
          <w:u w:val="single" w:color="auto"/>
          <w:color w:val="0000EE"/>
        </w:rPr>
      </w:pPr>
      <w:hyperlink r:id="rId93">
        <w:r>
          <w:rPr>
            <w:rFonts w:ascii="Arial" w:cs="Arial" w:eastAsia="Arial" w:hAnsi="Arial"/>
            <w:sz w:val="16"/>
            <w:szCs w:val="16"/>
            <w:u w:val="single" w:color="auto"/>
            <w:color w:val="0000EE"/>
          </w:rPr>
          <w:t>Warrant Agreement</w:t>
        </w:r>
        <w:r>
          <w:rPr>
            <w:rFonts w:ascii="Arial" w:cs="Arial" w:eastAsia="Arial" w:hAnsi="Arial"/>
            <w:sz w:val="25"/>
            <w:szCs w:val="25"/>
            <w:u w:val="single" w:color="auto"/>
            <w:color w:val="0000EE"/>
            <w:vertAlign w:val="superscript"/>
          </w:rPr>
          <w:t>5</w:t>
        </w:r>
      </w:hyperlink>
    </w:p>
    <w:p>
      <w:pPr>
        <w:spacing w:after="0" w:line="207" w:lineRule="auto"/>
        <w:rPr>
          <w:rFonts w:ascii="Arial" w:cs="Arial" w:eastAsia="Arial" w:hAnsi="Arial"/>
          <w:sz w:val="18"/>
          <w:szCs w:val="18"/>
          <w:u w:val="single" w:color="auto"/>
          <w:color w:val="0000EE"/>
        </w:rPr>
      </w:pPr>
      <w:hyperlink r:id="rId94">
        <w:r>
          <w:rPr>
            <w:rFonts w:ascii="Arial" w:cs="Arial" w:eastAsia="Arial" w:hAnsi="Arial"/>
            <w:sz w:val="18"/>
            <w:szCs w:val="18"/>
            <w:u w:val="single" w:color="auto"/>
            <w:color w:val="0000EE"/>
          </w:rPr>
          <w:t>Stock Purchase Agreement, dated September 24, 2015</w:t>
        </w:r>
        <w:r>
          <w:rPr>
            <w:rFonts w:ascii="Arial" w:cs="Arial" w:eastAsia="Arial" w:hAnsi="Arial"/>
            <w:sz w:val="30"/>
            <w:szCs w:val="30"/>
            <w:u w:val="single" w:color="auto"/>
            <w:color w:val="0000EE"/>
            <w:vertAlign w:val="superscript"/>
          </w:rPr>
          <w:t>6</w:t>
        </w:r>
      </w:hyperlink>
    </w:p>
    <w:p>
      <w:pPr>
        <w:spacing w:after="0" w:line="185" w:lineRule="auto"/>
        <w:rPr>
          <w:rFonts w:ascii="Arial" w:cs="Arial" w:eastAsia="Arial" w:hAnsi="Arial"/>
          <w:sz w:val="18"/>
          <w:szCs w:val="18"/>
          <w:u w:val="single" w:color="auto"/>
          <w:color w:val="0000EE"/>
        </w:rPr>
      </w:pPr>
      <w:hyperlink r:id="rId95">
        <w:r>
          <w:rPr>
            <w:rFonts w:ascii="Arial" w:cs="Arial" w:eastAsia="Arial" w:hAnsi="Arial"/>
            <w:sz w:val="18"/>
            <w:szCs w:val="18"/>
            <w:u w:val="single" w:color="auto"/>
            <w:color w:val="0000EE"/>
          </w:rPr>
          <w:t>Investor Rights Agreement, dated September 24, 2015</w:t>
        </w:r>
        <w:r>
          <w:rPr>
            <w:rFonts w:ascii="Arial" w:cs="Arial" w:eastAsia="Arial" w:hAnsi="Arial"/>
            <w:sz w:val="29"/>
            <w:szCs w:val="29"/>
            <w:u w:val="single" w:color="auto"/>
            <w:color w:val="0000EE"/>
            <w:vertAlign w:val="superscript"/>
          </w:rPr>
          <w:t>6</w:t>
        </w:r>
      </w:hyperlink>
    </w:p>
    <w:p>
      <w:pPr>
        <w:spacing w:after="0" w:line="180" w:lineRule="auto"/>
        <w:rPr>
          <w:rFonts w:ascii="Arial" w:cs="Arial" w:eastAsia="Arial" w:hAnsi="Arial"/>
          <w:sz w:val="16"/>
          <w:szCs w:val="16"/>
          <w:u w:val="single" w:color="auto"/>
          <w:color w:val="0000EE"/>
        </w:rPr>
      </w:pPr>
      <w:hyperlink r:id="rId96">
        <w:r>
          <w:rPr>
            <w:rFonts w:ascii="Arial" w:cs="Arial" w:eastAsia="Arial" w:hAnsi="Arial"/>
            <w:sz w:val="16"/>
            <w:szCs w:val="16"/>
            <w:u w:val="single" w:color="auto"/>
            <w:color w:val="0000EE"/>
          </w:rPr>
          <w:t>Indemnity Agreement, dated September 24, 2015</w:t>
        </w:r>
        <w:r>
          <w:rPr>
            <w:rFonts w:ascii="Arial" w:cs="Arial" w:eastAsia="Arial" w:hAnsi="Arial"/>
            <w:sz w:val="25"/>
            <w:szCs w:val="25"/>
            <w:u w:val="single" w:color="auto"/>
            <w:color w:val="0000EE"/>
            <w:vertAlign w:val="superscript"/>
          </w:rPr>
          <w:t>6</w:t>
        </w:r>
      </w:hyperlink>
    </w:p>
    <w:p>
      <w:pPr>
        <w:spacing w:after="0" w:line="185" w:lineRule="auto"/>
        <w:rPr>
          <w:rFonts w:ascii="Arial" w:cs="Arial" w:eastAsia="Arial" w:hAnsi="Arial"/>
          <w:sz w:val="18"/>
          <w:szCs w:val="18"/>
          <w:u w:val="single" w:color="auto"/>
          <w:color w:val="0000EE"/>
        </w:rPr>
      </w:pPr>
      <w:hyperlink r:id="rId97">
        <w:r>
          <w:rPr>
            <w:rFonts w:ascii="Arial" w:cs="Arial" w:eastAsia="Arial" w:hAnsi="Arial"/>
            <w:sz w:val="18"/>
            <w:szCs w:val="18"/>
            <w:u w:val="single" w:color="auto"/>
            <w:color w:val="0000EE"/>
          </w:rPr>
          <w:t>Employment Agreement between the Company and William Febbo, dated February 12, 2016</w:t>
        </w:r>
        <w:r>
          <w:rPr>
            <w:rFonts w:ascii="Arial" w:cs="Arial" w:eastAsia="Arial" w:hAnsi="Arial"/>
            <w:sz w:val="29"/>
            <w:szCs w:val="29"/>
            <w:u w:val="single" w:color="auto"/>
            <w:color w:val="0000EE"/>
            <w:vertAlign w:val="superscript"/>
          </w:rPr>
          <w:t>7</w:t>
        </w:r>
      </w:hyperlink>
    </w:p>
    <w:p>
      <w:pPr>
        <w:spacing w:after="0" w:line="205" w:lineRule="auto"/>
        <w:rPr>
          <w:rFonts w:ascii="Arial" w:cs="Arial" w:eastAsia="Arial" w:hAnsi="Arial"/>
          <w:sz w:val="18"/>
          <w:szCs w:val="18"/>
          <w:u w:val="single" w:color="auto"/>
          <w:color w:val="0000EE"/>
        </w:rPr>
      </w:pPr>
      <w:hyperlink r:id="rId98">
        <w:r>
          <w:rPr>
            <w:rFonts w:ascii="Arial" w:cs="Arial" w:eastAsia="Arial" w:hAnsi="Arial"/>
            <w:sz w:val="18"/>
            <w:szCs w:val="18"/>
            <w:u w:val="single" w:color="auto"/>
            <w:color w:val="0000EE"/>
          </w:rPr>
          <w:t>Separation Agreement, Corporate Consulting Agreement and Confidentiality Agreement between the Company and David Harrell dated May</w:t>
        </w:r>
      </w:hyperlink>
      <w:r>
        <w:rPr>
          <w:rFonts w:ascii="Arial" w:cs="Arial" w:eastAsia="Arial" w:hAnsi="Arial"/>
          <w:sz w:val="18"/>
          <w:szCs w:val="18"/>
          <w:u w:val="single" w:color="auto"/>
          <w:color w:val="0000EE"/>
        </w:rPr>
        <w:t xml:space="preserve"> </w:t>
      </w:r>
      <w:hyperlink r:id="rId98">
        <w:r>
          <w:rPr>
            <w:rFonts w:ascii="Arial" w:cs="Arial" w:eastAsia="Arial" w:hAnsi="Arial"/>
            <w:sz w:val="18"/>
            <w:szCs w:val="18"/>
            <w:u w:val="single" w:color="auto"/>
            <w:color w:val="0000EE"/>
          </w:rPr>
          <w:t>5, 2016</w:t>
        </w:r>
        <w:r>
          <w:rPr>
            <w:rFonts w:ascii="Arial" w:cs="Arial" w:eastAsia="Arial" w:hAnsi="Arial"/>
            <w:sz w:val="30"/>
            <w:szCs w:val="30"/>
            <w:u w:val="single" w:color="auto"/>
            <w:color w:val="0000EE"/>
            <w:vertAlign w:val="superscript"/>
          </w:rPr>
          <w:t>8</w:t>
        </w:r>
      </w:hyperlink>
    </w:p>
    <w:p>
      <w:pPr>
        <w:spacing w:after="0" w:line="1" w:lineRule="exact"/>
        <w:rPr>
          <w:sz w:val="20"/>
          <w:szCs w:val="20"/>
          <w:color w:val="auto"/>
        </w:rPr>
      </w:pPr>
    </w:p>
    <w:p>
      <w:pPr>
        <w:ind w:right="3600"/>
        <w:spacing w:after="0" w:line="198" w:lineRule="auto"/>
        <w:rPr>
          <w:rFonts w:ascii="Arial" w:cs="Arial" w:eastAsia="Arial" w:hAnsi="Arial"/>
          <w:sz w:val="18"/>
          <w:szCs w:val="18"/>
          <w:u w:val="single" w:color="auto"/>
          <w:color w:val="0000EE"/>
        </w:rPr>
      </w:pPr>
      <w:hyperlink r:id="rId99">
        <w:r>
          <w:rPr>
            <w:rFonts w:ascii="Arial" w:cs="Arial" w:eastAsia="Arial" w:hAnsi="Arial"/>
            <w:sz w:val="18"/>
            <w:szCs w:val="18"/>
            <w:u w:val="single" w:color="auto"/>
            <w:color w:val="0000EE"/>
          </w:rPr>
          <w:t>Employment Agreement between the Company and Terry Hamilton, dated June 27, 2016</w:t>
        </w:r>
      </w:hyperlink>
      <w:r>
        <w:rPr>
          <w:rFonts w:ascii="Arial" w:cs="Arial" w:eastAsia="Arial" w:hAnsi="Arial"/>
          <w:sz w:val="30"/>
          <w:szCs w:val="30"/>
          <w:u w:val="single" w:color="auto"/>
          <w:color w:val="0000EE"/>
          <w:vertAlign w:val="superscript"/>
        </w:rPr>
        <w:t>9</w:t>
      </w:r>
      <w:r>
        <w:rPr>
          <w:rFonts w:ascii="Arial" w:cs="Arial" w:eastAsia="Arial" w:hAnsi="Arial"/>
          <w:sz w:val="18"/>
          <w:szCs w:val="18"/>
          <w:u w:val="single" w:color="auto"/>
          <w:color w:val="0000EE"/>
        </w:rPr>
        <w:t xml:space="preserve"> </w:t>
      </w:r>
      <w:hyperlink r:id="rId100">
        <w:r>
          <w:rPr>
            <w:rFonts w:ascii="Arial" w:cs="Arial" w:eastAsia="Arial" w:hAnsi="Arial"/>
            <w:sz w:val="18"/>
            <w:szCs w:val="18"/>
            <w:u w:val="single" w:color="auto"/>
            <w:color w:val="0000EE"/>
          </w:rPr>
          <w:t>Employment Agreement between the Company and David Baker, dated June 27, 2016</w:t>
        </w:r>
      </w:hyperlink>
      <w:r>
        <w:rPr>
          <w:rFonts w:ascii="Arial" w:cs="Arial" w:eastAsia="Arial" w:hAnsi="Arial"/>
          <w:sz w:val="30"/>
          <w:szCs w:val="30"/>
          <w:u w:val="single" w:color="auto"/>
          <w:color w:val="0000EE"/>
          <w:vertAlign w:val="superscript"/>
        </w:rPr>
        <w:t>9</w:t>
      </w:r>
      <w:r>
        <w:rPr>
          <w:rFonts w:ascii="Arial" w:cs="Arial" w:eastAsia="Arial" w:hAnsi="Arial"/>
          <w:sz w:val="18"/>
          <w:szCs w:val="18"/>
          <w:u w:val="single" w:color="auto"/>
          <w:color w:val="0000EE"/>
        </w:rPr>
        <w:t xml:space="preserve"> </w:t>
      </w:r>
      <w:hyperlink r:id="rId101">
        <w:r>
          <w:rPr>
            <w:rFonts w:ascii="Arial" w:cs="Arial" w:eastAsia="Arial" w:hAnsi="Arial"/>
            <w:sz w:val="18"/>
            <w:szCs w:val="18"/>
            <w:u w:val="single" w:color="auto"/>
            <w:color w:val="0000EE"/>
          </w:rPr>
          <w:t>Employment Agreement between the Company and Miriam Paramore, dated July 17, 2017</w:t>
        </w:r>
      </w:hyperlink>
      <w:r>
        <w:rPr>
          <w:rFonts w:ascii="Arial" w:cs="Arial" w:eastAsia="Arial" w:hAnsi="Arial"/>
          <w:sz w:val="30"/>
          <w:szCs w:val="30"/>
          <w:u w:val="single" w:color="auto"/>
          <w:color w:val="0000EE"/>
          <w:vertAlign w:val="superscript"/>
        </w:rPr>
        <w:t>10</w:t>
      </w:r>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Amended and Restated 2013 Equity Incentive Plan</w:t>
        </w:r>
        <w:r>
          <w:rPr>
            <w:rFonts w:ascii="Arial" w:cs="Arial" w:eastAsia="Arial" w:hAnsi="Arial"/>
            <w:sz w:val="30"/>
            <w:szCs w:val="30"/>
            <w:u w:val="single" w:color="auto"/>
            <w:color w:val="0000EE"/>
            <w:vertAlign w:val="superscript"/>
          </w:rPr>
          <w:t>11</w:t>
        </w:r>
      </w:hyperlink>
    </w:p>
    <w:p>
      <w:pPr>
        <w:spacing w:after="0" w:line="180" w:lineRule="auto"/>
        <w:rPr>
          <w:rFonts w:ascii="Arial" w:cs="Arial" w:eastAsia="Arial" w:hAnsi="Arial"/>
          <w:sz w:val="18"/>
          <w:szCs w:val="18"/>
          <w:u w:val="single" w:color="auto"/>
          <w:color w:val="0000EE"/>
        </w:rPr>
      </w:pPr>
      <w:hyperlink r:id="rId103">
        <w:r>
          <w:rPr>
            <w:rFonts w:ascii="Arial" w:cs="Arial" w:eastAsia="Arial" w:hAnsi="Arial"/>
            <w:sz w:val="18"/>
            <w:szCs w:val="18"/>
            <w:u w:val="single" w:color="auto"/>
            <w:color w:val="0000EE"/>
          </w:rPr>
          <w:t>Amended Employment Agreement between the Company and William Febbo, dated February 1, 2018</w:t>
        </w:r>
        <w:r>
          <w:rPr>
            <w:rFonts w:ascii="Arial" w:cs="Arial" w:eastAsia="Arial" w:hAnsi="Arial"/>
            <w:sz w:val="30"/>
            <w:szCs w:val="30"/>
            <w:u w:val="single" w:color="auto"/>
            <w:color w:val="0000EE"/>
            <w:vertAlign w:val="superscript"/>
          </w:rPr>
          <w:t>12</w:t>
        </w:r>
      </w:hyperlink>
    </w:p>
    <w:p>
      <w:pPr>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Code of Business Conduct and Ethics</w:t>
        </w:r>
      </w:hyperlink>
    </w:p>
    <w:p>
      <w:pPr>
        <w:spacing w:after="0" w:line="184" w:lineRule="auto"/>
        <w:rPr>
          <w:rFonts w:ascii="Arial" w:cs="Arial" w:eastAsia="Arial" w:hAnsi="Arial"/>
          <w:sz w:val="18"/>
          <w:szCs w:val="18"/>
          <w:u w:val="single" w:color="auto"/>
          <w:color w:val="0000EE"/>
        </w:rPr>
      </w:pPr>
      <w:hyperlink r:id="rId104">
        <w:r>
          <w:rPr>
            <w:rFonts w:ascii="Arial" w:cs="Arial" w:eastAsia="Arial" w:hAnsi="Arial"/>
            <w:sz w:val="18"/>
            <w:szCs w:val="18"/>
            <w:u w:val="single" w:color="auto"/>
            <w:color w:val="0000EE"/>
          </w:rPr>
          <w:t>List of Subsidiaries</w:t>
        </w:r>
        <w:r>
          <w:rPr>
            <w:rFonts w:ascii="Arial" w:cs="Arial" w:eastAsia="Arial" w:hAnsi="Arial"/>
            <w:sz w:val="30"/>
            <w:szCs w:val="30"/>
            <w:u w:val="single" w:color="auto"/>
            <w:color w:val="0000EE"/>
            <w:vertAlign w:val="superscript"/>
          </w:rPr>
          <w:t>1</w:t>
        </w:r>
      </w:hyperlink>
    </w:p>
    <w:p>
      <w:pPr>
        <w:spacing w:after="0" w:line="1" w:lineRule="exact"/>
        <w:rPr>
          <w:rFonts w:ascii="Arial" w:cs="Arial" w:eastAsia="Arial" w:hAnsi="Arial"/>
          <w:sz w:val="18"/>
          <w:szCs w:val="18"/>
          <w:u w:val="single" w:color="auto"/>
          <w:color w:val="0000EE"/>
        </w:rPr>
      </w:pPr>
    </w:p>
    <w:p>
      <w:pPr>
        <w:spacing w:after="0" w:line="249" w:lineRule="auto"/>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Certification of Chief Executive Officer pursuant to Securities Exchange Act Rule 13a-14(a)/15d-14(a), as adopted pursuant to Section 302 of</w:t>
        </w:r>
      </w:hyperlink>
      <w:r>
        <w:rPr>
          <w:rFonts w:ascii="Arial" w:cs="Arial" w:eastAsia="Arial" w:hAnsi="Arial"/>
          <w:sz w:val="18"/>
          <w:szCs w:val="18"/>
          <w:u w:val="single" w:color="auto"/>
          <w:color w:val="0000EE"/>
        </w:rPr>
        <w:t xml:space="preserve"> </w:t>
      </w:r>
      <w:hyperlink w:anchor="page71">
        <w:r>
          <w:rPr>
            <w:rFonts w:ascii="Arial" w:cs="Arial" w:eastAsia="Arial" w:hAnsi="Arial"/>
            <w:sz w:val="18"/>
            <w:szCs w:val="18"/>
            <w:u w:val="single" w:color="auto"/>
            <w:color w:val="0000EE"/>
          </w:rPr>
          <w:t>the Sarbanes-Oxley Act of 2002</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72">
        <w:r>
          <w:rPr>
            <w:rFonts w:ascii="Arial" w:cs="Arial" w:eastAsia="Arial" w:hAnsi="Arial"/>
            <w:sz w:val="18"/>
            <w:szCs w:val="18"/>
            <w:u w:val="single" w:color="auto"/>
            <w:color w:val="0000EE"/>
          </w:rPr>
          <w:t>Certification of Chief Financial Officer pursuant to Securities Exchange Act Rule 13a-14(a)/15d-14(a), as adopted pursuant to Section 302 of</w:t>
        </w:r>
      </w:hyperlink>
      <w:r>
        <w:rPr>
          <w:rFonts w:ascii="Arial" w:cs="Arial" w:eastAsia="Arial" w:hAnsi="Arial"/>
          <w:sz w:val="18"/>
          <w:szCs w:val="18"/>
          <w:u w:val="single" w:color="auto"/>
          <w:color w:val="0000EE"/>
        </w:rPr>
        <w:t xml:space="preserve"> </w:t>
      </w:r>
      <w:hyperlink w:anchor="page72">
        <w:r>
          <w:rPr>
            <w:rFonts w:ascii="Arial" w:cs="Arial" w:eastAsia="Arial" w:hAnsi="Arial"/>
            <w:sz w:val="18"/>
            <w:szCs w:val="18"/>
            <w:u w:val="single" w:color="auto"/>
            <w:color w:val="0000EE"/>
          </w:rPr>
          <w:t>the Sarbanes-Oxley Act of 2002</w:t>
        </w:r>
      </w:hyperlink>
    </w:p>
    <w:p>
      <w:pPr>
        <w:spacing w:after="0" w:line="1" w:lineRule="exact"/>
        <w:rPr>
          <w:sz w:val="20"/>
          <w:szCs w:val="20"/>
          <w:color w:val="auto"/>
        </w:rPr>
      </w:pPr>
    </w:p>
    <w:p>
      <w:pPr>
        <w:spacing w:after="0" w:line="250" w:lineRule="auto"/>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Certification of Chief Executive Officer and Chief Financial Officer pursuant to 18 U.S.C. Section 1350, as adopted pursuant to Section 906 of</w:t>
        </w:r>
      </w:hyperlink>
      <w:r>
        <w:rPr>
          <w:rFonts w:ascii="Arial" w:cs="Arial" w:eastAsia="Arial" w:hAnsi="Arial"/>
          <w:sz w:val="18"/>
          <w:szCs w:val="18"/>
          <w:u w:val="single" w:color="auto"/>
          <w:color w:val="0000EE"/>
        </w:rPr>
        <w:t xml:space="preserve"> </w:t>
      </w:r>
      <w:hyperlink w:anchor="page73">
        <w:r>
          <w:rPr>
            <w:rFonts w:ascii="Arial" w:cs="Arial" w:eastAsia="Arial" w:hAnsi="Arial"/>
            <w:sz w:val="18"/>
            <w:szCs w:val="18"/>
            <w:u w:val="single" w:color="auto"/>
            <w:color w:val="0000EE"/>
          </w:rPr>
          <w:t>the Sarbanes-Oxley Act of 2002</w:t>
        </w:r>
      </w:hyperlink>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The following materials from the Company’s Annual Report on Form 10-K for the year ended December 31, 2016 formatted in Extensible Business Reporting Language (XBRL).</w:t>
      </w:r>
    </w:p>
    <w:p>
      <w:pPr>
        <w:spacing w:after="0" w:line="115" w:lineRule="exact"/>
        <w:rPr>
          <w:sz w:val="20"/>
          <w:szCs w:val="20"/>
          <w:color w:val="auto"/>
        </w:rPr>
      </w:pPr>
    </w:p>
    <w:p>
      <w:pPr>
        <w:sectPr>
          <w:pgSz w:w="11900" w:h="16838" w:orient="portrait"/>
          <w:cols w:equalWidth="0" w:num="2">
            <w:col w:w="640" w:space="440"/>
            <w:col w:w="10320"/>
          </w:cols>
          <w:pgMar w:left="240" w:top="904" w:right="259" w:bottom="1440" w:gutter="0" w:footer="0" w:header="0"/>
          <w:type w:val="continuous"/>
        </w:sectPr>
      </w:pPr>
    </w:p>
    <w:p>
      <w:pPr>
        <w:ind w:left="340" w:hanging="332"/>
        <w:spacing w:after="0"/>
        <w:tabs>
          <w:tab w:leader="none" w:pos="340" w:val="left"/>
        </w:tabs>
        <w:numPr>
          <w:ilvl w:val="0"/>
          <w:numId w:val="38"/>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S-1, filed by the Company with the Securities and Exchange Commission on November 12, 2008.</w:t>
      </w:r>
    </w:p>
    <w:p>
      <w:pPr>
        <w:ind w:left="340" w:hanging="332"/>
        <w:spacing w:after="0" w:line="180" w:lineRule="auto"/>
        <w:tabs>
          <w:tab w:leader="none" w:pos="340" w:val="left"/>
        </w:tabs>
        <w:numPr>
          <w:ilvl w:val="0"/>
          <w:numId w:val="39"/>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July 16, 2010.</w:t>
      </w:r>
    </w:p>
    <w:p>
      <w:pPr>
        <w:ind w:left="340" w:hanging="332"/>
        <w:spacing w:after="0" w:line="180" w:lineRule="auto"/>
        <w:tabs>
          <w:tab w:leader="none" w:pos="340" w:val="left"/>
        </w:tabs>
        <w:numPr>
          <w:ilvl w:val="0"/>
          <w:numId w:val="40"/>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June 11, 2010.</w:t>
      </w:r>
    </w:p>
    <w:p>
      <w:pPr>
        <w:ind w:left="340" w:hanging="332"/>
        <w:spacing w:after="0" w:line="181" w:lineRule="auto"/>
        <w:tabs>
          <w:tab w:leader="none" w:pos="340" w:val="left"/>
        </w:tabs>
        <w:numPr>
          <w:ilvl w:val="0"/>
          <w:numId w:val="41"/>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March 18, 2014.</w:t>
      </w:r>
    </w:p>
    <w:p>
      <w:pPr>
        <w:ind w:left="340" w:hanging="332"/>
        <w:spacing w:after="0" w:line="180" w:lineRule="auto"/>
        <w:tabs>
          <w:tab w:leader="none" w:pos="340" w:val="left"/>
        </w:tabs>
        <w:numPr>
          <w:ilvl w:val="0"/>
          <w:numId w:val="42"/>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S-1/A filed by the Company with the Securities and Exchange Commission on May 12, 2014.</w:t>
      </w:r>
    </w:p>
    <w:p>
      <w:pPr>
        <w:ind w:left="340" w:hanging="332"/>
        <w:spacing w:after="0" w:line="181" w:lineRule="auto"/>
        <w:tabs>
          <w:tab w:leader="none" w:pos="340" w:val="left"/>
        </w:tabs>
        <w:numPr>
          <w:ilvl w:val="0"/>
          <w:numId w:val="43"/>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September 30, 2015.</w:t>
      </w:r>
    </w:p>
    <w:p>
      <w:pPr>
        <w:ind w:left="340" w:hanging="332"/>
        <w:spacing w:after="0" w:line="180" w:lineRule="auto"/>
        <w:tabs>
          <w:tab w:leader="none" w:pos="340" w:val="left"/>
        </w:tabs>
        <w:numPr>
          <w:ilvl w:val="0"/>
          <w:numId w:val="44"/>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February 19, 2016.</w:t>
      </w:r>
    </w:p>
    <w:p>
      <w:pPr>
        <w:ind w:left="340" w:hanging="332"/>
        <w:spacing w:after="0" w:line="180" w:lineRule="auto"/>
        <w:tabs>
          <w:tab w:leader="none" w:pos="340" w:val="left"/>
        </w:tabs>
        <w:numPr>
          <w:ilvl w:val="0"/>
          <w:numId w:val="45"/>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10-Q, filed by the Company with the Securities and Exchange Commission on May 9, 2016.</w:t>
      </w:r>
    </w:p>
    <w:p>
      <w:pPr>
        <w:ind w:left="340" w:hanging="332"/>
        <w:spacing w:after="0" w:line="181" w:lineRule="auto"/>
        <w:tabs>
          <w:tab w:leader="none" w:pos="340" w:val="left"/>
        </w:tabs>
        <w:numPr>
          <w:ilvl w:val="0"/>
          <w:numId w:val="46"/>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June 27, 2016.</w:t>
      </w:r>
    </w:p>
    <w:p>
      <w:pPr>
        <w:ind w:left="340" w:hanging="332"/>
        <w:spacing w:after="0" w:line="180" w:lineRule="auto"/>
        <w:tabs>
          <w:tab w:leader="none" w:pos="340" w:val="left"/>
        </w:tabs>
        <w:numPr>
          <w:ilvl w:val="0"/>
          <w:numId w:val="47"/>
        </w:numPr>
        <w:rPr>
          <w:rFonts w:ascii="Arial" w:cs="Arial" w:eastAsia="Arial" w:hAnsi="Arial"/>
          <w:sz w:val="25"/>
          <w:szCs w:val="25"/>
          <w:color w:val="auto"/>
          <w:vertAlign w:val="superscript"/>
        </w:rPr>
      </w:pPr>
      <w:r>
        <w:rPr>
          <w:rFonts w:ascii="Arial" w:cs="Arial" w:eastAsia="Arial" w:hAnsi="Arial"/>
          <w:sz w:val="16"/>
          <w:szCs w:val="16"/>
          <w:color w:val="auto"/>
        </w:rPr>
        <w:t>Incorporated by reference to the Form 8-K, filed by the Company with the Securities and Exchange Commission on August 1, 2017.</w:t>
      </w:r>
    </w:p>
    <w:p>
      <w:pPr>
        <w:spacing w:after="0" w:line="2" w:lineRule="exact"/>
        <w:rPr>
          <w:rFonts w:ascii="Arial" w:cs="Arial" w:eastAsia="Arial" w:hAnsi="Arial"/>
          <w:sz w:val="25"/>
          <w:szCs w:val="25"/>
          <w:color w:val="auto"/>
          <w:vertAlign w:val="superscript"/>
        </w:rPr>
      </w:pPr>
    </w:p>
    <w:p>
      <w:pPr>
        <w:ind w:left="340" w:hanging="332"/>
        <w:spacing w:after="0" w:line="186" w:lineRule="auto"/>
        <w:tabs>
          <w:tab w:leader="none" w:pos="340" w:val="left"/>
        </w:tabs>
        <w:numPr>
          <w:ilvl w:val="0"/>
          <w:numId w:val="47"/>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8-K filed by the Company with the Securities and Exchange Commission on March 31, 2016.</w:t>
      </w:r>
    </w:p>
    <w:p>
      <w:pPr>
        <w:spacing w:after="0" w:line="2" w:lineRule="exact"/>
        <w:rPr>
          <w:rFonts w:ascii="Arial" w:cs="Arial" w:eastAsia="Arial" w:hAnsi="Arial"/>
          <w:sz w:val="24"/>
          <w:szCs w:val="24"/>
          <w:color w:val="auto"/>
          <w:vertAlign w:val="superscript"/>
        </w:rPr>
      </w:pPr>
    </w:p>
    <w:p>
      <w:pPr>
        <w:ind w:left="340" w:hanging="332"/>
        <w:spacing w:after="0" w:line="186" w:lineRule="auto"/>
        <w:tabs>
          <w:tab w:leader="none" w:pos="340" w:val="left"/>
        </w:tabs>
        <w:numPr>
          <w:ilvl w:val="0"/>
          <w:numId w:val="47"/>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8-K filed by the Company with the Securities and Exchange Commission on February 2, 2018.</w:t>
      </w:r>
    </w:p>
    <w:p>
      <w:pPr>
        <w:spacing w:after="0" w:line="200" w:lineRule="exact"/>
        <w:rPr>
          <w:sz w:val="20"/>
          <w:szCs w:val="20"/>
          <w:color w:val="auto"/>
        </w:rPr>
      </w:pP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type w:val="continuous"/>
        </w:sectPr>
      </w:pPr>
    </w:p>
    <w:bookmarkStart w:id="57" w:name="page58"/>
    <w:bookmarkEnd w:id="57"/>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Pursuant to the requirements of Section 13 or 15(d) of the Exchange Act of 1934, the registrant has duly caused this report to be signed on its behalf by the undersigned, thereunto duly authorized.</w:t>
      </w:r>
    </w:p>
    <w:p>
      <w:pPr>
        <w:spacing w:after="0" w:line="1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OptimizeRx Corporation</w:t>
      </w:r>
    </w:p>
    <w:p>
      <w:pPr>
        <w:spacing w:after="0" w:line="22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6877685"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6">
                      <a:extLst>
                        <a:ext uri="{28A0092B-C50C-407E-A947-70E740481C1C}"/>
                      </a:extLst>
                    </a:blip>
                    <a:srcRect/>
                    <a:stretch>
                      <a:fillRect/>
                    </a:stretch>
                  </pic:blipFill>
                  <pic:spPr bwMode="auto">
                    <a:xfrm>
                      <a:off x="0" y="0"/>
                      <a:ext cx="6877685"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William Febbo</w:t>
      </w:r>
    </w:p>
    <w:p>
      <w:pPr>
        <w:spacing w:after="0" w:line="2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Chief Executive Officer, Principal Executive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March 8, 2018</w:t>
      </w:r>
    </w:p>
    <w:p>
      <w:pPr>
        <w:spacing w:after="0" w:line="21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14605</wp:posOffset>
            </wp:positionV>
            <wp:extent cx="252984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7">
                      <a:extLst>
                        <a:ext uri="{28A0092B-C50C-407E-A947-70E740481C1C}"/>
                      </a:extLst>
                    </a:blip>
                    <a:srcRect/>
                    <a:stretch>
                      <a:fillRect/>
                    </a:stretch>
                  </pic:blipFill>
                  <pic:spPr bwMode="auto">
                    <a:xfrm>
                      <a:off x="0" y="0"/>
                      <a:ext cx="2529840" cy="17145"/>
                    </a:xfrm>
                    <a:prstGeom prst="rect">
                      <a:avLst/>
                    </a:prstGeom>
                    <a:noFill/>
                  </pic:spPr>
                </pic:pic>
              </a:graphicData>
            </a:graphic>
          </wp:anchor>
        </w:drawing>
      </w:r>
    </w:p>
    <w:p>
      <w:pPr>
        <w:spacing w:after="0" w:line="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Douglas P. Baker</w:t>
      </w:r>
    </w:p>
    <w:p>
      <w:pPr>
        <w:spacing w:after="0" w:line="2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Title:</w:t>
        <w:tab/>
        <w:t>Chief Financial Officer, Principal Financial Officer</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Principal Accounting Officer</w:t>
      </w:r>
    </w:p>
    <w:p>
      <w:pPr>
        <w:spacing w:after="0" w:line="9"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tab/>
        <w:t>March 8, 2018</w:t>
      </w:r>
    </w:p>
    <w:p>
      <w:pPr>
        <w:spacing w:after="0" w:line="2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William J. Febbo</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March 8,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James Lang</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James Lang</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March 8,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Gus D. Halas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Gus D. Halas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Chairman and 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March 8,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Jack Pinney</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Jack Pinney</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March 8, 2018</w:t>
            </w:r>
          </w:p>
        </w:tc>
      </w:tr>
      <w:tr>
        <w:trPr>
          <w:trHeight w:val="439"/>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Lynn Vos</w:t>
            </w:r>
          </w:p>
        </w:tc>
      </w:tr>
      <w:tr>
        <w:trPr>
          <w:trHeight w:val="202"/>
        </w:trPr>
        <w:tc>
          <w:tcPr>
            <w:tcW w:w="580" w:type="dxa"/>
            <w:vAlign w:val="bottom"/>
          </w:tcPr>
          <w:p>
            <w:pPr>
              <w:spacing w:after="0"/>
              <w:rPr>
                <w:sz w:val="17"/>
                <w:szCs w:val="17"/>
                <w:color w:val="auto"/>
              </w:rPr>
            </w:pPr>
          </w:p>
        </w:tc>
        <w:tc>
          <w:tcPr>
            <w:tcW w:w="4000" w:type="dxa"/>
            <w:vAlign w:val="bottom"/>
          </w:tcPr>
          <w:p>
            <w:pPr>
              <w:spacing w:after="0" w:line="201" w:lineRule="exact"/>
              <w:rPr>
                <w:sz w:val="20"/>
                <w:szCs w:val="20"/>
                <w:color w:val="auto"/>
              </w:rPr>
            </w:pPr>
            <w:r>
              <w:rPr>
                <w:rFonts w:ascii="Arial" w:cs="Arial" w:eastAsia="Arial" w:hAnsi="Arial"/>
                <w:sz w:val="18"/>
                <w:szCs w:val="18"/>
                <w:color w:val="auto"/>
              </w:rPr>
              <w:t>Lynn Vos</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00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000" w:type="dxa"/>
            <w:vAlign w:val="bottom"/>
          </w:tcPr>
          <w:p>
            <w:pPr>
              <w:spacing w:after="0"/>
              <w:rPr>
                <w:sz w:val="20"/>
                <w:szCs w:val="20"/>
                <w:color w:val="auto"/>
              </w:rPr>
            </w:pPr>
            <w:r>
              <w:rPr>
                <w:rFonts w:ascii="Arial" w:cs="Arial" w:eastAsia="Arial" w:hAnsi="Arial"/>
                <w:sz w:val="18"/>
                <w:szCs w:val="18"/>
                <w:color w:val="auto"/>
              </w:rPr>
              <w:t>March 8, 2018</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14.1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CODE OF BUSINESS CONDUCT AND ETHICS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OptimizeRx Corp. values honesty, integrity and adherence to the highest ethical standards. Each of us has a responsibility for upholding these values and maintaining a commitment to basic principles of business ethics and good judgment. This Code of Business Conduct and Ethics (the “Code”) has been developed as a guide to our adherence to these legal and ethical responsibilities. This Code is designed to deter wrongdoing and to promote:</w:t>
      </w:r>
    </w:p>
    <w:p>
      <w:pPr>
        <w:spacing w:after="0" w:line="166" w:lineRule="exact"/>
        <w:rPr>
          <w:sz w:val="20"/>
          <w:szCs w:val="20"/>
          <w:color w:val="auto"/>
        </w:rPr>
      </w:pPr>
    </w:p>
    <w:p>
      <w:pPr>
        <w:ind w:left="660" w:hanging="328"/>
        <w:spacing w:after="0"/>
        <w:tabs>
          <w:tab w:leader="none" w:pos="660" w:val="left"/>
        </w:tabs>
        <w:numPr>
          <w:ilvl w:val="0"/>
          <w:numId w:val="48"/>
        </w:numPr>
        <w:rPr>
          <w:rFonts w:ascii="Arial" w:cs="Arial" w:eastAsia="Arial" w:hAnsi="Arial"/>
          <w:sz w:val="16"/>
          <w:szCs w:val="16"/>
          <w:color w:val="auto"/>
        </w:rPr>
      </w:pPr>
      <w:r>
        <w:rPr>
          <w:rFonts w:ascii="Arial" w:cs="Arial" w:eastAsia="Arial" w:hAnsi="Arial"/>
          <w:sz w:val="16"/>
          <w:szCs w:val="16"/>
          <w:color w:val="auto"/>
        </w:rPr>
        <w:t>honest and ethical conduct, including the ethical handling of actual or apparent conflicts of interest between personal and professional relationships.</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full, fair, accurate, timely and understandable disclosure in reports and documents we file with or submit to the U.S. Securities and Exchange Commission (the “SEC”) and in our other public communications;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compliance with applicable laws, rules and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prompt internal reporting of violations of this Code;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accountability for adherence to this Code.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Code applies to all directors, officers and employees of OptimizeRx Corp., its subsidiaries and any subsidiaries it may form in the future (collectively, “OPRX” or the “Company”).</w:t>
      </w:r>
    </w:p>
    <w:p>
      <w:pPr>
        <w:spacing w:after="0" w:line="170"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Code should help guide your conduct in the course of our business. Many of the principles described in this Code, however, are general in nature, and the Code does not cover every situation that may arise. Use common sense and good judgment in applying this Code. If you have any questions about the Code, or are unsure about whether an action or inaction that you intend to take is permitted under the Code, please contact our Chief Financial Officer.</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committed to continuously reviewing and updating our policies and procedures. We therefore reserve the right to amend, alter or terminate this Code at any time and for any reason, subject to applicable law.</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Part of your job and ethical responsibility is to help enforce this Code. You should be alert to possible violations and report them pursuant to the “Reporting Procedures” described below.</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Violations of law, this Code or other Company policies or procedures can lead to disciplinary action up to and including employment 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450850</wp:posOffset>
            </wp:positionV>
            <wp:extent cx="72466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9" w:name="page60"/>
    <w:bookmarkEnd w:id="59"/>
    <w:p>
      <w:pPr>
        <w:jc w:val="center"/>
        <w:spacing w:after="0"/>
        <w:rPr>
          <w:sz w:val="20"/>
          <w:szCs w:val="20"/>
          <w:color w:val="auto"/>
        </w:rPr>
      </w:pPr>
      <w:r>
        <w:rPr>
          <w:rFonts w:ascii="Arial" w:cs="Arial" w:eastAsia="Arial" w:hAnsi="Arial"/>
          <w:sz w:val="18"/>
          <w:szCs w:val="18"/>
          <w:b w:val="1"/>
          <w:bCs w:val="1"/>
          <w:color w:val="auto"/>
        </w:rPr>
        <w:t>BASIC PRINCIPLES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Practices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Equal Opportunity and Diversity</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OPRX is fully committed to equal employment opportunity and compliance with the letter and spirit of the full range of fair employment practices and nondiscrimination laws, including all wage and hour laws. In addition, we believe that diversity is critical to our success. OPRX seeks to hire, develop and retain the most talented individuals from a diverse candidate pool.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Harassment</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OPRX employees have the right to work in an environment free from discrimination, harassment and intimidation, whether committed by or against a co-worker, supervisor, customer, vendor or visitor. Harassment, whether based on a person’s gender, sexual orientation, race, ethnicity, religion, national origin, citizenship, age, disability, socioeconomic status or marital status, is repugnant and completely inconsistent with OPRX’s commitment to provide a respectful, professional and dignified workplace. Discrimination in any area of employment, including hiring, advancement, compensation, discipline, and termination, will not be tolerated. OPRX also prohibits any employee from making any claim known by that employee to be false.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Safe and Healthy Workplace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To meet our responsibilities to employees, customers, and investors, OPRX must maintain a healthy and productive workplace. Employees must report all safety concerns or accidents no matter how slight the problem. Violence or the threat of violence will not be tolerated, whether committed by or against a co-worker, supervisor, customer, vendor or visitor. Misusing controlled substances or selling, manufacturing, distributing, misusing or being under the influence of alcohol or illegal substances on the job is absolutely prohibited.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Compliance with Government and Industry Regulation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must comply with all applicable federal, state and local laws, regulations, rules and regulatory orders applicable to our business. Each employee, director, agent, contractor and consultant must acquire appropriate knowledge of the requirements of his or her locale relating to his or her duties sufficient to enable him or her to recognize potential dangers and to know when to seek advice from our legal counsel. Violations of laws, regulations, rules and orders may subject the employee, director, agent, contractor or consultant to individual criminal or civil liability, as well as to discipline by OPRX. These violations may also subject OPRX to civil or criminal liability and/or the loss of business.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color w:val="auto"/>
        </w:rPr>
        <w:t>Insider Trading</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All employees are required to comply with the federal laws and the Code regarding the disclosure and use of material non-public information. Anyone who possesses material non-public information and who buys or sells stock or other equity securities of OPRX or any other public company, or “tips” another investor, may be liable for damages, civil and criminal penalties and may also be subject to disciplinary action by OPRX. It is illegal to trade in securities based on inside information. Inside information is any information about OPRX or another company that has not reached the public and is likely to be considered important by investors in deciding whether to buy or sell publicly traded securities. Examples include news about OPRX’s financial results before it is formally released, planned actions regarding OPRX stock, and unannounced senior management changes. Inside information also includes non-public information about other companies that you receive in the course of your employment. Employees who have access to inside information hold special positions of trust and confidence and must not abuse this trust. Never trade in securities or other property based on inside information, or “tip” others who might make an investment decision based on this information. Trading under such circumstances is illegal, whether you trade for your own benefit or for the benefit of others. Do not take advantage of inside information when buying or selling OPRX stock, options in OPRX stock, or the stock of any supplier or customer of OPRX or one of its subsidiaries. This applies whether you act directly or through someone else, such as a family member. Stricter standards apply to officers and certain other manager-level employees. Contact our Chief Financial Officer or legal counsel if you have any doubts about the information you use to help make buying or selling decisions. For more information regarding compliance with OPRX’s insider trading policy, see our “Amended and Restated Policy on Insider Trading and Compliance.”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Prohibition against Short-Term or Speculative Transactions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All directors, officers, and holders of greater than 10% of the Company’s securities are prohibited from engaging in short-term or speculative transactions involving Company securities, such as publicly traded options, short sales, puts, and calls, and hedging transactions. This prohibition also applies to holding Company securities in a margin account and “short sales against the box”, which are sales of Company securities where a person does not deliver the shares he or she owns to settle the transaction but instead delivers other shares that his or her broker has borrowed from others. Notwithstanding the foregoing, the Company’s Board of Directors may waive this policy on a case-by-case basis if: (i) the Board of Directors forms the opinion that such waiver is not adverse to the interests of the Company or its shareholders; (ii) where the director, officer, or 10% holder seeking such waiver has demonstrated to the satisfaction of the Board of Directors that he or she has sufficient assets to pay the obligation without resort to Company securities; and (iii) the director, officer, or 10% holder seeking such waiver otherwise is in compliance with Section 16(c) of the Securities Exchange Act of 1934, as amended. All other employees must obtain the specific prior written authorization of the Chief Executive Officer and the Chief Financial Officer before engaging in short-term or speculative transactions involving Company securities. Additionally, any executive officer or member of the Board of Directors shall seek approval of the Board of Directors prior to any pledge of the Company’s securities, such approval to be included in the minutes of the meetings of the Board of Directors or consent resolutions.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Free and Fair Competition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OPRX is committed to obeying both the letter and spirit of laws designed to encourage and protect free and fair competition, which generally address the following areas: pricing practices (including price discrimination), discounting, terms of sale, promotional allowances, product bundling, termination, and many other practices.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1" w:name="page62"/>
    <w:bookmarkEnd w:id="61"/>
    <w:p>
      <w:pPr>
        <w:jc w:val="both"/>
        <w:spacing w:after="0" w:line="255" w:lineRule="auto"/>
        <w:rPr>
          <w:sz w:val="20"/>
          <w:szCs w:val="20"/>
          <w:color w:val="auto"/>
        </w:rPr>
      </w:pPr>
      <w:r>
        <w:rPr>
          <w:rFonts w:ascii="Arial" w:cs="Arial" w:eastAsia="Arial" w:hAnsi="Arial"/>
          <w:sz w:val="18"/>
          <w:szCs w:val="18"/>
          <w:color w:val="auto"/>
        </w:rPr>
        <w:t>Competition laws also govern, usually quite strictly, relationships between OPRX and its competitors. As a general rule, contacts with competitors should be limited, unless there is an existing partnership agreement and contacts are in conjunction with such agreement, and should avoid subjects such as prices or other terms and conditions of sale, customers and affiliates. Employees, directors, agents, contractors or consultants may not knowingly make false or misleading statements regarding OPRX’s competitors or the products of its competitors, customers or suppliers. Participation with competitors in a trade association is acceptable when the association has been properly established, has a legitimate purpose, has limited its activities to that purpose and such participation has been approved by a supervisor.</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You should never enter into an agreement or understanding, written or oral, express or implied, with any competitor concerning prices, discounts, other terms or conditions of sale, profits or profit margins, costs, rebates, referrals, allocation of product or geographic markets, allocation of customers, or boycotts of customers or suppliers, or even discuss or exchange information on these subjects. In some cases, legitimate joint ventures with competitors may permit exceptions to these rules, but our Chief Financial Officer must review all such proposed ventures in advance. These prohibitions are absolute and strict observances are required. Collusion among competitors is illegal, and the consequences of a violation are severe.</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Although the spirit of these laws, known as “antitrust,” or “competition,” or “consumer protection” or “unfair competition” laws, is straightforward, their application to particular situations can be quite complex. To ensure that OPRX complies fully with these laws, each of us should have a basic knowledge of them and should involve our Chief Financial Officer early on when questionable situations arise.</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Laws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OPRX is committed to being an environmentally responsible corporate citizen. You are expected to comply with or exceed all applicable laws and regulations related to the environment in each of our facilities. We encourage employees to minimize the impact of the Company’s business operations on the environment with methods that are socially responsible and economically sound.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Records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Accuracy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OPRX requires its employees to honestly and accurately record and report financial and other business information in order to make responsible business decisions and full, fair, accurate, timely and understandable financial and other disclosures to regulatory agencies and the public. OPRX is legally required to maintain an effective system of internal controls to ensure that transactions are properly authorized, assets are safeguarded, financial records are reliable and operations are conducted in accordance with directives of the Board of Directors and management. All of our books, records, accounts and financial statements must be maintained in reasonable detail, most appropriately reflect OPRX’s transactions and must conform both to applicable legal requirements and to our system of internal controls.</w:t>
      </w:r>
    </w:p>
    <w:p>
      <w:pPr>
        <w:spacing w:after="0" w:line="193"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To maintain the integrity of the accounting records, all entries in OPRX’s books and records must be prepared carefully and honestly and must be supported by adequate documentation to provide a complete, accurate, and auditable record. All employees have a responsibility to ensure that their work is fair and accurate. No false or misleading entry may be made for any reason, and no employee may assist any other person in making a false or misleading entry.</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2" w:name="page63"/>
    <w:bookmarkEnd w:id="62"/>
    <w:p>
      <w:pPr>
        <w:jc w:val="both"/>
        <w:spacing w:after="0" w:line="259" w:lineRule="auto"/>
        <w:rPr>
          <w:sz w:val="20"/>
          <w:szCs w:val="20"/>
          <w:color w:val="auto"/>
        </w:rPr>
      </w:pPr>
      <w:r>
        <w:rPr>
          <w:rFonts w:ascii="Arial" w:cs="Arial" w:eastAsia="Arial" w:hAnsi="Arial"/>
          <w:sz w:val="18"/>
          <w:szCs w:val="18"/>
          <w:color w:val="auto"/>
        </w:rPr>
        <w:t>Employees must timely communicate required information to our management to enable decisions regarding disclosure. Public statements and filings regarding our business and financial status must be true, accurate, complete, and not misleading in all material respects. Business records and communications often become public and all officers, directors and employees should avoid exaggeration, derogatory remarks, guesswork, or inappropriate characterizations of people and companies.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Full disclosure reinforces responsibility and acts as a powerful deterrent to wrongdoing. Therefore, undisclosed or unrecorded transactions are not allowed for any purpose. Any employee having information or knowledge of any undisclosed or unrecorded transaction or the falsification of records should report it promptly as detailed under the heading “Reporting Procedures”.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Maintaining and Managing Records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required by local, state, federal, foreign and other applicable laws, rules and regulations to retain certain records and to follow specific guidelines in managing our records. Records include email, paper documents, CDs, computer hard disks, floppy disks, and all other media. Civil and criminal penalties for failure to comply with such guidelines can be severe for employees, directors, agents, contractors and OPRX, and failure to comply with such guidelines may subject the employee, director, agent, contractor or consultant to disciplinary action, up to and including termination of employment or business relationship at OPRX’s sole discretion.</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legal hold suspends all document destruction procedures in order to preserve appropriate records under special circumstances, such as litigation or government investigations. Our Chief Financial Officer determines and identifies what types of Company records or documents are required to be placed under a legal hold. Every employee, director, agent, contractor and consultant must comply with this policy. Failure to comply with this policy may subject the employee, director, agent, contractor or consultant to disciplinary action, up to and including termination of employment or business relationship at OPRX’s sole discretion.</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Our Chief Financial Officer will notify you if a legal hold is placed on records for which you are responsible. You then must preserve and protect the necessary records in accordance with instructions from our Chief Financial Officer. Records or supporting documents that have been placed under a legal hold must not be destroyed, altered or modified under any circumstances. A legal hold remains effective until it is officially released in writing by our Chief Financial Officer. If you are unsure whether a document has been placed under a legal hold, you should preserve and protect that document while you check with our Chief Financial Officer. If you have any questions about this policy you should contact our Chief Financial Officer.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Confidential or Copyrighted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OPRX Confidential Information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OPRX’s confidential information is a valuable asset. Our confidential information includes proprietary technology, product designs, names and lists of customers and employees, business plans and financial information. This information is the property of OPRX and may be protected by patent, trademark, copyright and trade secret laws. All confidential information must be used for OPRX business purposes only. Every employee, director, agent, contractor and consultant must safeguard it.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you joined OPRX, you signed an agreement to protect and hold confidential OPRX’s proprietary information. This agreement remains in effect for as long as you work for OPRX and after you leave OPRX. Under this agreement, you may not disclose OPRX’s confidential information to anyone or use it to benefit anyone other than OPRX without the prior written consent of an authorized OPRX officer.</w:t>
      </w:r>
    </w:p>
    <w:p>
      <w:pPr>
        <w:spacing w:after="0" w:line="1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To further OPRX’s business, from time to time, our confidential information may be disclosed to potential business partners. However, such disclosure should never be done without carefully considering its potential benefits and risks. If you determine in consultation with your manager and other appropriate management that disclosure of confidential information is necessary, you must then contact our Chief Financial Officer to ensure that an appropriate written nondisclosure agreement is signed prior to the disclosure. OPRX has standard nondisclosure agreements suitable for most disclosures. You must not sign another company’s nondisclosure agreement or accept changes to our standard nondisclosure agreements without review and approval by our Chief Financial Officer. Nondisclosure agreements may only be signed by an authorized OPRX employee. You are also responsible for properly labeling any and all documentation shared with or correspondence sent to our outside counsel as “Attorney-Client Privileged.”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Confidential Information of Others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You must take special care to handle the confidential information of others responsibly. You should never accept information offered by another company that is represented as confidential, or which appears from the context or circumstances to be confidential, unless an appropriate nondisclosure agreement has been signed with the party offering the information. Our Chief Financial Officer can provide nondisclosure agreements to fit any particular situation, and will coordinate appropriate execution of such agreements on behalf of OPRX. Even after a nondisclosure agreement is in place, you should accept only the information necessary to accomplish the purpose of receiving it. If more detailed or extensive confidential intonation is offered and it is not necessary for your immediate purposes, it should be refused.</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Once another company’s confidential informational has been disclosed to us, we have an obligation to abide by the terms of the relevant nondisclosure agreement and limit its use to the specific purpose for which it was disclosed, or further internal analysis of the information related to the resulting use of the information related to its specific purpose and to disseminate it only to other employees with a need to know the information. Every employee, director, agent, contractor and consultant involved in a potential business relationship with another company must understand and strictly observe the restrictions on the use and handling of confidential information. When in doubt, consult our Chief Financial Officer.</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4" w:name="page65"/>
    <w:bookmarkEnd w:id="64"/>
    <w:p>
      <w:pPr>
        <w:jc w:val="both"/>
        <w:spacing w:after="0" w:line="312" w:lineRule="auto"/>
        <w:rPr>
          <w:sz w:val="20"/>
          <w:szCs w:val="20"/>
          <w:color w:val="auto"/>
        </w:rPr>
      </w:pPr>
      <w:r>
        <w:rPr>
          <w:rFonts w:ascii="Arial" w:cs="Arial" w:eastAsia="Arial" w:hAnsi="Arial"/>
          <w:sz w:val="16"/>
          <w:szCs w:val="16"/>
          <w:color w:val="auto"/>
        </w:rPr>
        <w:t>You should never attempt to obtain a competitor’s confidential information by improper means, and you should especially never contact a competitor regarding their confidential information. While we may interview and/or employ former employees of competitors, we recognize and respect the obligations of those employees not to use or disclose the confidential information of their former employers, and you should refrain from seeking such information.</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You should never steal or unlawfully use the information, material, products, intellectual property, or proprietary or confidential information of third parties, including customers, business partners or competitors.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Copyrighted Information</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OPRX subscribes to newsletters, reference works, online reference services, magazines, books, and other digital and printed works. OPRX also licenses copyrighted computer software. Copyright law generally protects these works, and their unauthorized copying and distribution constitute copyright infringement. Unauthorized duplication of copyrighted works violates the law and is contrary to our standards of conduct. You must first obtain the consent of the copyright holder before copying these works or significant parts of them. When in doubt about whether you may copy a publication, consult our Chief Financial Officer.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Protection and Proper Use of OPRX Assets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Computers and Other Equipment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To the extent that OPRX has furnished you with equipment, you must care for that equipment and use it responsibly for OPRX business purposes. While computers and other electronic devices are made available to certain employees to assist them to perform their jobs, all computers and electronic devices, whether used entirely or partially on OPRX’s premises or with the aid of OPRX’s equipment or resources, must remain fully accessible to OPRX and, to the maximum extent permitted by law, will remain the sole and exclusive property of OPRX. Any loss, misuse or suspected theft of computers or other equipment should be reported to a supervisor or the Chief Financial Officer.</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You are expected to use electronic communication devices in a legal, ethical and appropriate manner. You should not maintain any expectation of privacy with respect to information transmitted over, received by, or stored in any electronic communications device owned, leased, or operated in whole or in part by or on behalf of OPRX. To the extent permitted by applicable law, OPRX retains the right to gain access to any information received by, transmitted by, or stored in any such electronic communications device, by and through its employees, directors, agents, contractors, or representatives, at any time, either with or without an employee’s or third party’s knowledge, consent or approval.</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software used by employees to conduct Company business must be appropriately licensed. Never make or use illegal or unauthorized copies of any software, whether in the office, at home, or on the road, since doing so may constitute copyright infringement and may expose you and OPRX to potential civil and criminal liability. In addition, use of illegal or unauthorized copies of software may subject the employee to disciplinary action, up to and including termination.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i w:val="1"/>
          <w:iCs w:val="1"/>
          <w:color w:val="auto"/>
        </w:rPr>
        <w:t>Company Funds and Employees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You are responsible for all OPRX funds and employees over which you exercise control. OPRX funds must be used only for Company business purposes and OPRX employees must perform work only for Company business purposes. You must take reasonable steps to ensure that OPRX receives good value for its funds spent and maintain accurate and timely records of each and every expenditure made using OPRX funds. Expense reports must be accurate and submitted in a timely manner. You must not use OPRX funds or employees for any personal or non-OPRX purpose.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Opportunities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Employees, officers and directors may not exploit for their own personal gain opportunities that are discovered through the use of Company property, information or position unless the opportunity is disclosed fully in writing to our Board of Directors and the Board of Directors declines to pursue such opportunity.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of us has a responsibility to OPRX, its stockholders and each other. Although this duty does not prevent us from engaging in personal transactions and investments, it does demand that we avoid situations where a conflict of interest might occur or appear to occur. OPRX is subject to scrutiny from many different individuals and organizations. We should always strive to avoid even the appearance of impropriety.</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Two factors that will be considered when determining whether a conflict of interest exists are: (1) whether the employee or director is or could be in a position to influence OPRX’s relationship with the competitor, partner, vendor, affiliate, or customer; and (2) whether the judgment of the employee or director could be affected, or could appear to be affected, as it relates to the competitor, partner, vendor, affiliate, or customer because of the significance of the personal interest of the employee or director. Conflicts of interest may also arise when an employee, officer or director (or his or her family members) receives improper personal benefits as a result of the employee’s, officer’s or director’s position at OPRX.</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Without limiting the general scope of this policy, the following relationships and courses of conduct will be considered to involve conflicts of interest unless in special circumstances they are specifically approved and compliance with this policy is waived (i) in the case of a director or executive officer, by our Board of Directors, and (ii) in all other cases, by our Chief Financial Officer:</w:t>
      </w:r>
    </w:p>
    <w:p>
      <w:pPr>
        <w:spacing w:after="0" w:line="181" w:lineRule="exact"/>
        <w:rPr>
          <w:sz w:val="20"/>
          <w:szCs w:val="20"/>
          <w:color w:val="auto"/>
        </w:rPr>
      </w:pPr>
    </w:p>
    <w:p>
      <w:pPr>
        <w:ind w:left="5680" w:right="2300" w:hanging="5348"/>
        <w:spacing w:after="0" w:line="778"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Making personnel decisions based on family or social relationships rather than based on objective job-related criteria.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6" w:name="page67"/>
    <w:bookmarkEnd w:id="66"/>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Initiating or approving (explicitly or implicitly) any form of harassment of employees.</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Serving as an employee, officer or director of a company that (a) is in direct competition with OPRX or (b) is a significant customer, partner, affiliate or contractor of OPRX (meaning a customer, partner, affiliate or contractor whose transactions with OPRX since the beginning of the last fiscal year, or whose currently proposed transactions with OPRX, exceed $60,000).</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Having a direct or indirect material financial interest in any privately held company that (a) is in direct competition with OPRX or (b) is a significant customer, partner, affiliate or contractor of OPRX.</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Holding more than a 5% interest in any publicly held company that (a) is in direct competition with OPRX or (b) is a significant customer, partner, affiliate or contractor of OPRX.</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Lending money to, guaranteeing debts of, or borrowing money from a direct competitor or a significant customer, partner, affiliate or contractor of OPRX by or for an employee or director or an immediate relative of an employee or director.</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Knowingly and improperly using or disclosing to OPRX any proprietary information or trade secrets of any former or concurrent employer, or other person or entity with whom obligations of confidentiality exist.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Unlawfully discussing prices, costs, customers, sales or markets with competing companies or their agents, employees or directors, or making any unlawful agreements with respect to prices or markets.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Improperly using or authorizing the use of any inventions that are the subject of patent claims of any other person or entity.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Consummating any transaction between an executive officer or member of the Board of Directors, or any of their respective affiliates, with another executive officer or member of the Board of Directors, or any of their respective affiliates.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OPRX directors and executive officers only, any questions on whether a relationship or course of conduct constitutes a conflict of interest should be submitted to our Audit Committee, or if no audit committee exists, to our governance committee, which will then make a recommendation to our independent directors. If a majority of the independent directors determines that a director or executive officer’s relationship or course of conduct may constitute a conflict of interest, it will so notify that person and specify a reasonable period of time in which that person can take steps to remedy the possible conflict. If the possible conflict is not remedied within the specified period of time, the relationship or course of conduct will be deemed to be a conflict of interest in violation of this policy unless the relationship or course of conduct is specifically approved and compliance with this policy is waived by our independent directors.</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respect to OPRX non-executive employees only, any other employment, consulting or other business activity must be disclosed to and approved in writing by our Chief Financial Officer, in which case the activity will not be deemed to constitute a conflict of interest in violation of this policy. However, if that activity is prohibited by the terms of that person’s employment agreement with the Company, the employee must also obtain a written waiver of the relevant terms of the employment agreement before engaging in such an activity. Because other conflicts of interest may arise, it would be impractical to attempt to list all possible situations. If a proposed transaction or situation raises any questions or doubts in your mind, you should consult our Chief Financial Officer.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Payments or Gifts from Others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Under no circumstances may employees, directors, agents, contractors or consultants accept any offer, payment, promise to pay, or authorization to pay any money, gift, or anything of value from customers, vendors, consultants, etc. that is perceived as intended, directly or indirectly, to influence any business decision, any act or failure to act, any commitment of fraud, or any opportunity for the commission of any fraud. Inexpensive gifts, infrequent business meals, celebratory events and entertainment, provided that they are not excessive or create an appearance of impropriety, do not violate this policy. Questions regarding whether a particular payment or gift violates this policy are to be directed to our Chief Financial Officer.</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Gifts given by OPRX to suppliers or customers or received from suppliers or customers should always be appropriate to the circumstances and should never be of a kind that could create an appearance of impropriety. The nature and cost of such gifts must always be accurately recorded in our books and records.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Charitable Contributions and Political Activities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OPRX encourages our employees to become involved in community activities and charitable organizations. However, no employee may bring undue pressure on another employee to contribute to a charitable organization. OPRX respects the rights of our employees to participate in the political process. Indeed, engaging in the process builds a stronger community and a better political system. However, you must at all times make clear that your views and actions are your own, and not those of OPRX. Additionally, employees may not use Company time or resources to support personal political activities or use their position to coerce or pressure employees to make contributions or support a candidate or political cause.</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Corrupt Practices Act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OPRX requires full compliance with the Foreign Corrupt Practices Act (“FCPA”) by all of its employees, directors, agents, contractors and consultants. All employees, directors, agents, contractors and consultants, whether located in the United States or abroad, are responsible for FCPA compliance and the procedures to ensure FCPA compliance. All managers and supervisory personnel are expected to monitor continued compliance with the FCPA to ensure compliance with applicable moral, ethical and professional standards. FCPA compliance includes our policy on Maintaining and Managing Records discussed above. In addition, no contract or agreement may be made with any business in which a government official or employee holds a significant interest, without the prior approval of our Chief Financial Officer. For more information regarding your obligations under the FCPA, see our “Foreign Corrupt Practices Act Policy.”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Company Spokespersons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Specific policies have been established regarding who may communicate information to the press and the financial analyst community. Any inquiries or calls from financial analysts should be referred to our Chief Financial Officer. All inquiries or calls from the press should be referred to our Chief Financial Officer.</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OPRX has designated our Chief Executive Officer, President, and Chief Financial Officer as our official spokespersons for all matters, including financial matters. These designees are the only people who may communicate with the press or financial analysts on behalf of OPRX.</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other person may communicate with the press or financial analysts on behalf of OPRX unless specifically authorized to do so in writing in advance by our Chief Executive Officer or Chief Financial Officer, for a specific purpose, and then only to the extent so authorized. Any employee or director publication or publicly made statement that might be perceived or construed as attributable to OPRX and that is made outside the scope of his or her employment or directorship must be reviewed and approved in writing in advance by our Chief Financial Officer and must include a disclaimer that the publication or statement represents the views of the specific author and not of OPRX.</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REPORTING PROCEDURES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Maintaining ethical standards is the responsibility and obligation of every OPRX employee. Early identification and resolution of conflict of interest and other ethical issues that may arise are critical to maintaining our commitments to our customers, vendors, investors, and to ourselves and our coworkers. OPRX employees are expected to treat compliance with ethical standards as a critical element of their responsibilities. While this Code sets forth a wide range of practices and procedures, it cannot address every issue that may arise. If you are unsure of what to do in a situation, you should seek additional guidance and information before you act. If something seems unethical or improper, or if you have questions regarding the best course of action, you should promptly contact any of the following:</w:t>
      </w:r>
    </w:p>
    <w:p>
      <w:pPr>
        <w:spacing w:after="0" w:line="193" w:lineRule="exact"/>
        <w:rPr>
          <w:sz w:val="20"/>
          <w:szCs w:val="20"/>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Your supervisor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OPRX’s Chief Financial Officer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1"/>
        </w:numPr>
        <w:rPr>
          <w:rFonts w:ascii="Arial" w:cs="Arial" w:eastAsia="Arial" w:hAnsi="Arial"/>
          <w:sz w:val="18"/>
          <w:szCs w:val="18"/>
          <w:color w:val="auto"/>
        </w:rPr>
      </w:pPr>
      <w:r>
        <w:rPr>
          <w:rFonts w:ascii="Arial" w:cs="Arial" w:eastAsia="Arial" w:hAnsi="Arial"/>
          <w:sz w:val="18"/>
          <w:szCs w:val="18"/>
          <w:color w:val="auto"/>
        </w:rPr>
        <w:t>Chairman of OPRX’s Governance Committee</w:t>
      </w:r>
    </w:p>
    <w:p>
      <w:pPr>
        <w:spacing w:after="0" w:line="225" w:lineRule="exact"/>
        <w:rPr>
          <w:rFonts w:ascii="Arial" w:cs="Arial" w:eastAsia="Arial" w:hAnsi="Arial"/>
          <w:sz w:val="18"/>
          <w:szCs w:val="18"/>
          <w:color w:val="auto"/>
        </w:rPr>
      </w:pPr>
    </w:p>
    <w:p>
      <w:pPr>
        <w:ind w:left="980" w:right="7280" w:hanging="648"/>
        <w:spacing w:after="0" w:line="563" w:lineRule="auto"/>
        <w:tabs>
          <w:tab w:leader="none" w:pos="656"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Company’s Internal Whistleblower Hotline: o Via voice: (248) 651 – 6568 x 851</w:t>
      </w:r>
    </w:p>
    <w:p>
      <w:pPr>
        <w:spacing w:after="0" w:line="1" w:lineRule="exact"/>
        <w:rPr>
          <w:rFonts w:ascii="Arial" w:cs="Arial" w:eastAsia="Arial" w:hAnsi="Arial"/>
          <w:sz w:val="16"/>
          <w:szCs w:val="16"/>
          <w:color w:val="auto"/>
        </w:rPr>
      </w:pPr>
    </w:p>
    <w:p>
      <w:pPr>
        <w:ind w:left="980"/>
        <w:spacing w:after="0"/>
        <w:rPr>
          <w:rFonts w:ascii="Arial" w:cs="Arial" w:eastAsia="Arial" w:hAnsi="Arial"/>
          <w:sz w:val="16"/>
          <w:szCs w:val="16"/>
          <w:color w:val="auto"/>
        </w:rPr>
      </w:pPr>
      <w:r>
        <w:rPr>
          <w:rFonts w:ascii="Arial" w:cs="Arial" w:eastAsia="Arial" w:hAnsi="Arial"/>
          <w:sz w:val="18"/>
          <w:szCs w:val="18"/>
          <w:color w:val="auto"/>
        </w:rPr>
        <w:t xml:space="preserve">o   Via email: </w:t>
      </w:r>
      <w:r>
        <w:rPr>
          <w:rFonts w:ascii="Arial" w:cs="Arial" w:eastAsia="Arial" w:hAnsi="Arial"/>
          <w:sz w:val="18"/>
          <w:szCs w:val="18"/>
          <w:u w:val="single" w:color="auto"/>
          <w:color w:val="auto"/>
        </w:rPr>
        <w:t>whistleblowerhotline@optimizerx.com</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Hotline is monitored by the Company’s CFO, who will either investigate and take appropriate action, or forward your concern to the Company’s Governance Committee, which will take appropriate action.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69" w:name="page70"/>
    <w:bookmarkEnd w:id="69"/>
    <w:p>
      <w:pPr>
        <w:jc w:val="both"/>
        <w:spacing w:after="0" w:line="259" w:lineRule="auto"/>
        <w:rPr>
          <w:sz w:val="20"/>
          <w:szCs w:val="20"/>
          <w:color w:val="auto"/>
        </w:rPr>
      </w:pPr>
      <w:r>
        <w:rPr>
          <w:rFonts w:ascii="Arial" w:cs="Arial" w:eastAsia="Arial" w:hAnsi="Arial"/>
          <w:sz w:val="18"/>
          <w:szCs w:val="18"/>
          <w:color w:val="auto"/>
        </w:rPr>
        <w:t>It is against Company policy to retaliate against any employee who raises a concern in good faith and, if requested and to the extent possible, every effort will be made to maintain confidentiality. All reported violations will be acted on appropriately. If your concern requires an investigation, the Company will respond promptly. If possible, you will be informed about the status of the investigation and the outcome of the matter. However, OPRX has an obligation of confidentiality to all employees, including those being investigated.</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DISCIPLINARY ACTIONS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matters covered in this Code are of the utmost importance to OPRX, its stockholders and its business partners, and are essential to our ability to conduct our business in accordance with our stated values. We expect all of our employees, directors, agents, contractors and consultants to adhere to these rules in carrying out their duties for OPRX.</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OPRX will take appropriate action against any employee, director, agent, and contractor or consultant whose actions are found to violate these policies or any other Company policies. Disciplinary actions may include immediate termination of employment or business relationship at OPRX’s sole discretion. Where OPRX has suffered a loss, it may pursue its remedies against the individuals or entities responsible. Where laws have been violated, OPRX will cooperate fully with the appropriate authorities.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WAIVERS AND AMENDMENT OF THE CODE</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Any waiver of any provision of this Code for a member of our Board of Directors or an executive officer, or any amendment of this Code, must be approved in writing by our Board of Directors and promptly disclosed pursuant to applicable laws and regulations. Any waivers of any provision of this Code with respect to any other employee, agent, contractor or consultant must be approved in writing by our Chief Financial Officer.</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0" w:name="page71"/>
    <w:bookmarkEnd w:id="70"/>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William J. Febbo, certify that;</w:t>
      </w:r>
    </w:p>
    <w:p>
      <w:pPr>
        <w:spacing w:after="0" w:line="225" w:lineRule="exact"/>
        <w:rPr>
          <w:sz w:val="20"/>
          <w:szCs w:val="20"/>
          <w:color w:val="auto"/>
        </w:rPr>
      </w:pPr>
    </w:p>
    <w:p>
      <w:pPr>
        <w:ind w:left="580" w:hanging="572"/>
        <w:spacing w:after="0"/>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2017 of OptimizeRx Corp (the “registrant”);</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565"/>
        <w:spacing w:after="0" w:line="308" w:lineRule="auto"/>
        <w:tabs>
          <w:tab w:leader="none" w:pos="1140" w:val="left"/>
        </w:tabs>
        <w:numPr>
          <w:ilvl w:val="1"/>
          <w:numId w:val="5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565"/>
        <w:spacing w:after="0" w:line="264" w:lineRule="auto"/>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5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hanging="565"/>
        <w:spacing w:after="0" w:line="308" w:lineRule="auto"/>
        <w:tabs>
          <w:tab w:leader="none" w:pos="1140" w:val="left"/>
        </w:tabs>
        <w:numPr>
          <w:ilvl w:val="1"/>
          <w:numId w:val="5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565"/>
        <w:spacing w:after="0" w:line="277" w:lineRule="auto"/>
        <w:tabs>
          <w:tab w:leader="none" w:pos="1140" w:val="left"/>
        </w:tabs>
        <w:numPr>
          <w:ilvl w:val="1"/>
          <w:numId w:val="5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William J. Febbo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1">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William J. Febbo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1" w:right="239"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Douglas P. Baker, certify that;</w:t>
      </w:r>
    </w:p>
    <w:p>
      <w:pPr>
        <w:spacing w:after="0" w:line="225" w:lineRule="exact"/>
        <w:rPr>
          <w:sz w:val="20"/>
          <w:szCs w:val="20"/>
          <w:color w:val="auto"/>
        </w:rPr>
      </w:pPr>
    </w:p>
    <w:p>
      <w:pPr>
        <w:ind w:left="580" w:hanging="572"/>
        <w:spacing w:after="0"/>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 have reviewed this annual report on Form 10-K for the year ended December 31, 2017 of OptimizeRx Corp (the “registrant”);</w:t>
      </w:r>
    </w:p>
    <w:p>
      <w:pPr>
        <w:spacing w:after="0" w:line="225"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0" w:lineRule="exact"/>
        <w:rPr>
          <w:rFonts w:ascii="Arial" w:cs="Arial" w:eastAsia="Arial" w:hAnsi="Arial"/>
          <w:sz w:val="18"/>
          <w:szCs w:val="18"/>
          <w:color w:val="auto"/>
        </w:rPr>
      </w:pPr>
    </w:p>
    <w:p>
      <w:pPr>
        <w:jc w:val="both"/>
        <w:ind w:left="580" w:hanging="572"/>
        <w:spacing w:after="0" w:line="264" w:lineRule="auto"/>
        <w:tabs>
          <w:tab w:leader="none" w:pos="5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jc w:val="both"/>
        <w:ind w:left="1140" w:hanging="565"/>
        <w:spacing w:after="0" w:line="264"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left="1140" w:hanging="565"/>
        <w:spacing w:after="0" w:line="308" w:lineRule="auto"/>
        <w:tabs>
          <w:tab w:leader="none" w:pos="11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6" w:lineRule="exact"/>
        <w:rPr>
          <w:rFonts w:ascii="Arial" w:cs="Arial" w:eastAsia="Arial" w:hAnsi="Arial"/>
          <w:sz w:val="17"/>
          <w:szCs w:val="17"/>
          <w:color w:val="auto"/>
        </w:rPr>
      </w:pPr>
    </w:p>
    <w:p>
      <w:pPr>
        <w:jc w:val="both"/>
        <w:ind w:left="1140" w:hanging="565"/>
        <w:spacing w:after="0" w:line="264"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580" w:hanging="572"/>
        <w:spacing w:after="0" w:line="308" w:lineRule="auto"/>
        <w:tabs>
          <w:tab w:leader="none" w:pos="580" w:val="left"/>
        </w:tabs>
        <w:numPr>
          <w:ilvl w:val="0"/>
          <w:numId w:val="5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1140" w:hanging="565"/>
        <w:spacing w:after="0" w:line="308" w:lineRule="auto"/>
        <w:tabs>
          <w:tab w:leader="none" w:pos="1140" w:val="left"/>
        </w:tabs>
        <w:numPr>
          <w:ilvl w:val="1"/>
          <w:numId w:val="5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1140" w:hanging="565"/>
        <w:spacing w:after="0" w:line="277" w:lineRule="auto"/>
        <w:tabs>
          <w:tab w:leader="none" w:pos="1140" w:val="left"/>
        </w:tabs>
        <w:numPr>
          <w:ilvl w:val="1"/>
          <w:numId w:val="5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Douglas P. Baker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9877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2">
                      <a:extLst>
                        <a:ext uri="{28A0092B-C50C-407E-A947-70E740481C1C}"/>
                      </a:extLst>
                    </a:blip>
                    <a:srcRect/>
                    <a:stretch>
                      <a:fillRect/>
                    </a:stretch>
                  </pic:blipFill>
                  <pic:spPr bwMode="auto">
                    <a:xfrm>
                      <a:off x="0" y="0"/>
                      <a:ext cx="2898775" cy="1714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By: Douglas P. Baker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Title: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Accounting Officer</w:t>
      </w:r>
    </w:p>
    <w:p>
      <w:pPr>
        <w:sectPr>
          <w:pgSz w:w="11900" w:h="16838" w:orient="portrait"/>
          <w:cols w:equalWidth="0" w:num="1">
            <w:col w:w="11420"/>
          </w:cols>
          <w:pgMar w:left="240" w:top="121" w:right="2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annual Report of OptimizeRx Corp (the “Company”) on Form 10-K for the year ended December 31, 2017 filed with the Securities and Exchange Commission (the “Report”), I, William J. Febbo, Chief Executive Officer of the Company, and I, Douglas P. Baker, certify, pursuant to 18 U.S.C. Section 1350, as adopted pursuant to Section 906 of the Sarbanes-Oxley Act of 2002, that:</w:t>
      </w:r>
    </w:p>
    <w:p>
      <w:pPr>
        <w:spacing w:after="0" w:line="181" w:lineRule="exact"/>
        <w:rPr>
          <w:sz w:val="20"/>
          <w:szCs w:val="20"/>
          <w:color w:val="auto"/>
        </w:rPr>
      </w:pPr>
    </w:p>
    <w:p>
      <w:pPr>
        <w:ind w:left="580" w:hanging="572"/>
        <w:spacing w:after="0"/>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of the Securities Exchange Act of 1934; and</w:t>
      </w:r>
    </w:p>
    <w:p>
      <w:pPr>
        <w:spacing w:after="0" w:line="225" w:lineRule="exact"/>
        <w:rPr>
          <w:rFonts w:ascii="Arial" w:cs="Arial" w:eastAsia="Arial" w:hAnsi="Arial"/>
          <w:sz w:val="18"/>
          <w:szCs w:val="18"/>
          <w:color w:val="auto"/>
        </w:rPr>
      </w:pPr>
    </w:p>
    <w:p>
      <w:pPr>
        <w:ind w:left="580" w:hanging="572"/>
        <w:spacing w:after="0" w:line="277" w:lineRule="auto"/>
        <w:tabs>
          <w:tab w:leader="none" w:pos="5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consolidated financial condition of the Company as of the dates presented and the consolidated result of operations of the Company for the periods presented.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William J. Febbo</w:t>
            </w: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William J. Febbo</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16"/>
        </w:trPr>
        <w:tc>
          <w:tcPr>
            <w:tcW w:w="7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880" w:type="dxa"/>
            <w:vAlign w:val="bottom"/>
          </w:tcPr>
          <w:p>
            <w:pPr>
              <w:spacing w:after="0"/>
              <w:rPr>
                <w:sz w:val="20"/>
                <w:szCs w:val="20"/>
                <w:color w:val="auto"/>
              </w:rPr>
            </w:pPr>
            <w:r>
              <w:rPr>
                <w:rFonts w:ascii="Arial" w:cs="Arial" w:eastAsia="Arial" w:hAnsi="Arial"/>
                <w:sz w:val="18"/>
                <w:szCs w:val="18"/>
                <w:color w:val="auto"/>
              </w:rPr>
              <w:t>March 8, 2018</w:t>
            </w:r>
          </w:p>
        </w:tc>
      </w:tr>
      <w:tr>
        <w:trPr>
          <w:trHeight w:val="439"/>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Doug Baker</w:t>
            </w:r>
          </w:p>
        </w:tc>
      </w:tr>
      <w:tr>
        <w:trPr>
          <w:trHeight w:val="202"/>
        </w:trPr>
        <w:tc>
          <w:tcPr>
            <w:tcW w:w="700" w:type="dxa"/>
            <w:vAlign w:val="bottom"/>
          </w:tcPr>
          <w:p>
            <w:pPr>
              <w:spacing w:after="0" w:line="201" w:lineRule="exact"/>
              <w:rPr>
                <w:sz w:val="20"/>
                <w:szCs w:val="20"/>
                <w:color w:val="auto"/>
              </w:rPr>
            </w:pPr>
            <w:r>
              <w:rPr>
                <w:rFonts w:ascii="Arial" w:cs="Arial" w:eastAsia="Arial" w:hAnsi="Arial"/>
                <w:sz w:val="18"/>
                <w:szCs w:val="18"/>
                <w:color w:val="auto"/>
              </w:rPr>
              <w:t>Name:</w:t>
            </w:r>
          </w:p>
        </w:tc>
        <w:tc>
          <w:tcPr>
            <w:tcW w:w="3880" w:type="dxa"/>
            <w:vAlign w:val="bottom"/>
          </w:tcPr>
          <w:p>
            <w:pPr>
              <w:spacing w:after="0" w:line="201" w:lineRule="exact"/>
              <w:rPr>
                <w:sz w:val="20"/>
                <w:szCs w:val="20"/>
                <w:color w:val="auto"/>
              </w:rPr>
            </w:pPr>
            <w:r>
              <w:rPr>
                <w:rFonts w:ascii="Arial" w:cs="Arial" w:eastAsia="Arial" w:hAnsi="Arial"/>
                <w:sz w:val="18"/>
                <w:szCs w:val="18"/>
                <w:color w:val="auto"/>
              </w:rPr>
              <w:t>Doug Baker</w:t>
            </w: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16"/>
        </w:trPr>
        <w:tc>
          <w:tcPr>
            <w:tcW w:w="7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Principal Financial Officer and</w:t>
            </w:r>
          </w:p>
        </w:tc>
      </w:tr>
      <w:tr>
        <w:trPr>
          <w:trHeight w:val="216"/>
        </w:trPr>
        <w:tc>
          <w:tcPr>
            <w:tcW w:w="70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Principal Accounting Officer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3880" w:type="dxa"/>
            <w:vAlign w:val="bottom"/>
          </w:tcPr>
          <w:p>
            <w:pPr>
              <w:spacing w:after="0"/>
              <w:rPr>
                <w:sz w:val="20"/>
                <w:szCs w:val="20"/>
                <w:color w:val="auto"/>
              </w:rPr>
            </w:pPr>
            <w:r>
              <w:rPr>
                <w:rFonts w:ascii="Arial" w:cs="Arial" w:eastAsia="Arial" w:hAnsi="Arial"/>
                <w:sz w:val="18"/>
                <w:szCs w:val="18"/>
                <w:color w:val="auto"/>
              </w:rPr>
              <w:t>March 8, 2018</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This certification has been furnished solely pursuant to Section 906 of the Sarbanes-Oxley Act of 2002.</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lvl w:ilvl="1">
      <w:lvlJc w:val="left"/>
      <w:lvlText w:val="☒"/>
      <w:numFmt w:val="bullet"/>
      <w:start w:val="1"/>
    </w:lvl>
  </w:abstractNum>
  <w:abstractNum w:abstractNumId="1">
    <w:nsid w:val="2CA88611"/>
    <w:multiLevelType w:val="hybridMultilevel"/>
    <w:lvl w:ilvl="0">
      <w:lvlJc w:val="left"/>
      <w:lvlText w:val="%1)"/>
      <w:numFmt w:val="decimal"/>
      <w:start w:val="1"/>
    </w:lvl>
  </w:abstractNum>
  <w:abstractNum w:abstractNumId="2">
    <w:nsid w:val="836C40E"/>
    <w:multiLevelType w:val="hybridMultilevel"/>
    <w:lvl w:ilvl="0">
      <w:lvlJc w:val="left"/>
      <w:lvlText w:val="●"/>
      <w:numFmt w:val="bullet"/>
      <w:start w:val="1"/>
    </w:lvl>
  </w:abstractNum>
  <w:abstractNum w:abstractNumId="3">
    <w:nsid w:val="2901D82"/>
    <w:multiLevelType w:val="hybridMultilevel"/>
    <w:lvl w:ilvl="0">
      <w:lvlJc w:val="left"/>
      <w:lvlText w:val="●"/>
      <w:numFmt w:val="bullet"/>
      <w:start w:val="1"/>
    </w:lvl>
  </w:abstractNum>
  <w:abstractNum w:abstractNumId="4">
    <w:nsid w:val="3A95F874"/>
    <w:multiLevelType w:val="hybridMultilevel"/>
    <w:lvl w:ilvl="0">
      <w:lvlJc w:val="left"/>
      <w:lvlText w:val="●"/>
      <w:numFmt w:val="bullet"/>
      <w:start w:val="1"/>
    </w:lvl>
  </w:abstractNum>
  <w:abstractNum w:abstractNumId="5">
    <w:nsid w:val="8138641"/>
    <w:multiLevelType w:val="hybridMultilevel"/>
    <w:lvl w:ilvl="0">
      <w:lvlJc w:val="left"/>
      <w:lvlText w:val="●"/>
      <w:numFmt w:val="bullet"/>
      <w:start w:val="1"/>
    </w:lvl>
  </w:abstractNum>
  <w:abstractNum w:abstractNumId="6">
    <w:nsid w:val="1E7FF521"/>
    <w:multiLevelType w:val="hybridMultilevel"/>
    <w:lvl w:ilvl="0">
      <w:lvlJc w:val="left"/>
      <w:lvlText w:val="●"/>
      <w:numFmt w:val="bullet"/>
      <w:start w:val="1"/>
    </w:lvl>
  </w:abstractNum>
  <w:abstractNum w:abstractNumId="7">
    <w:nsid w:val="7C3DBD3D"/>
    <w:multiLevelType w:val="hybridMultilevel"/>
    <w:lvl w:ilvl="0">
      <w:lvlJc w:val="left"/>
      <w:lvlText w:val="●"/>
      <w:numFmt w:val="bullet"/>
      <w:start w:val="1"/>
    </w:lvl>
  </w:abstractNum>
  <w:abstractNum w:abstractNumId="8">
    <w:nsid w:val="737B8DDC"/>
    <w:multiLevelType w:val="hybridMultilevel"/>
    <w:lvl w:ilvl="0">
      <w:lvlJc w:val="left"/>
      <w:lvlText w:val="●"/>
      <w:numFmt w:val="bullet"/>
      <w:start w:val="1"/>
    </w:lvl>
  </w:abstractNum>
  <w:abstractNum w:abstractNumId="9">
    <w:nsid w:val="6CEAF087"/>
    <w:multiLevelType w:val="hybridMultilevel"/>
    <w:lvl w:ilvl="0">
      <w:lvlJc w:val="left"/>
      <w:lvlText w:val="●"/>
      <w:numFmt w:val="bullet"/>
      <w:start w:val="1"/>
    </w:lvl>
  </w:abstractNum>
  <w:abstractNum w:abstractNumId="10">
    <w:nsid w:val="22221A70"/>
    <w:multiLevelType w:val="hybridMultilevel"/>
    <w:lvl w:ilvl="0">
      <w:lvlJc w:val="left"/>
      <w:lvlText w:val="●"/>
      <w:numFmt w:val="bullet"/>
      <w:start w:val="1"/>
    </w:lvl>
  </w:abstractNum>
  <w:abstractNum w:abstractNumId="11">
    <w:nsid w:val="4516DDE9"/>
    <w:multiLevelType w:val="hybridMultilevel"/>
    <w:lvl w:ilvl="0">
      <w:lvlJc w:val="left"/>
      <w:lvlText w:val="%1."/>
      <w:numFmt w:val="decimal"/>
      <w:start w:val="1"/>
    </w:lvl>
  </w:abstractNum>
  <w:abstractNum w:abstractNumId="12">
    <w:nsid w:val="3006C83E"/>
    <w:multiLevelType w:val="hybridMultilevel"/>
    <w:lvl w:ilvl="0">
      <w:lvlJc w:val="left"/>
      <w:lvlText w:val="(%1)"/>
      <w:numFmt w:val="decimal"/>
      <w:start w:val="1"/>
    </w:lvl>
  </w:abstractNum>
  <w:abstractNum w:abstractNumId="13">
    <w:nsid w:val="614FD4A1"/>
    <w:multiLevelType w:val="hybridMultilevel"/>
    <w:lvl w:ilvl="0">
      <w:lvlJc w:val="left"/>
      <w:lvlText w:val="$"/>
      <w:numFmt w:val="bullet"/>
      <w:start w:val="1"/>
    </w:lvl>
  </w:abstractNum>
  <w:abstractNum w:abstractNumId="14">
    <w:nsid w:val="419AC241"/>
    <w:multiLevelType w:val="hybridMultilevel"/>
    <w:lvl w:ilvl="0">
      <w:lvlJc w:val="left"/>
      <w:lvlText w:val="-"/>
      <w:numFmt w:val="bullet"/>
      <w:start w:val="1"/>
    </w:lvl>
  </w:abstractNum>
  <w:abstractNum w:abstractNumId="15">
    <w:nsid w:val="5577F8E1"/>
    <w:multiLevelType w:val="hybridMultilevel"/>
    <w:lvl w:ilvl="0">
      <w:lvlJc w:val="left"/>
      <w:lvlText w:val="-"/>
      <w:numFmt w:val="bullet"/>
      <w:start w:val="1"/>
    </w:lvl>
  </w:abstractNum>
  <w:abstractNum w:abstractNumId="16">
    <w:nsid w:val="440BADFC"/>
    <w:multiLevelType w:val="hybridMultilevel"/>
    <w:lvl w:ilvl="0">
      <w:lvlJc w:val="left"/>
      <w:lvlText w:val="$"/>
      <w:numFmt w:val="bullet"/>
      <w:start w:val="1"/>
    </w:lvl>
  </w:abstractNum>
  <w:abstractNum w:abstractNumId="17">
    <w:nsid w:val="5072367"/>
    <w:multiLevelType w:val="hybridMultilevel"/>
    <w:lvl w:ilvl="0">
      <w:lvlJc w:val="left"/>
      <w:lvlText w:val="-"/>
      <w:numFmt w:val="bullet"/>
      <w:start w:val="1"/>
    </w:lvl>
  </w:abstractNum>
  <w:abstractNum w:abstractNumId="18">
    <w:nsid w:val="3804823E"/>
    <w:multiLevelType w:val="hybridMultilevel"/>
    <w:lvl w:ilvl="0">
      <w:lvlJc w:val="left"/>
      <w:lvlText w:val="(%1)"/>
      <w:numFmt w:val="lowerRoman"/>
      <w:start w:val="1"/>
    </w:lvl>
  </w:abstractNum>
  <w:abstractNum w:abstractNumId="19">
    <w:nsid w:val="77465F01"/>
    <w:multiLevelType w:val="hybridMultilevel"/>
    <w:lvl w:ilvl="0">
      <w:lvlJc w:val="left"/>
      <w:lvlText w:val="%1."/>
      <w:numFmt w:val="decimal"/>
      <w:start w:val="1"/>
    </w:lvl>
  </w:abstractNum>
  <w:abstractNum w:abstractNumId="20">
    <w:nsid w:val="7724C67E"/>
    <w:multiLevelType w:val="hybridMultilevel"/>
    <w:lvl w:ilvl="0">
      <w:lvlJc w:val="left"/>
      <w:lvlText w:val="%1."/>
      <w:numFmt w:val="lowerRoman"/>
      <w:start w:val="2"/>
    </w:lvl>
  </w:abstractNum>
  <w:abstractNum w:abstractNumId="21">
    <w:nsid w:val="5C482A97"/>
    <w:multiLevelType w:val="hybridMultilevel"/>
    <w:lvl w:ilvl="0">
      <w:lvlJc w:val="left"/>
      <w:lvlText w:val="%1."/>
      <w:numFmt w:val="decimal"/>
      <w:start w:val="4"/>
    </w:lvl>
  </w:abstractNum>
  <w:abstractNum w:abstractNumId="22">
    <w:nsid w:val="2463B9EA"/>
    <w:multiLevelType w:val="hybridMultilevel"/>
    <w:lvl w:ilvl="0">
      <w:lvlJc w:val="left"/>
      <w:lvlText w:val="%1."/>
      <w:numFmt w:val="decimal"/>
      <w:start w:val="5"/>
    </w:lvl>
  </w:abstractNum>
  <w:abstractNum w:abstractNumId="23">
    <w:nsid w:val="5E884ADC"/>
    <w:multiLevelType w:val="hybridMultilevel"/>
    <w:lvl w:ilvl="0">
      <w:lvlJc w:val="left"/>
      <w:lvlText w:val="%1."/>
      <w:numFmt w:val="lowerRoman"/>
      <w:start w:val="2"/>
    </w:lvl>
  </w:abstractNum>
  <w:abstractNum w:abstractNumId="24">
    <w:nsid w:val="51EAD36B"/>
    <w:multiLevelType w:val="hybridMultilevel"/>
    <w:lvl w:ilvl="0">
      <w:lvlJc w:val="left"/>
      <w:lvlText w:val="%1."/>
      <w:numFmt w:val="decimal"/>
      <w:start w:val="8"/>
    </w:lvl>
  </w:abstractNum>
  <w:abstractNum w:abstractNumId="25">
    <w:nsid w:val="2D517796"/>
    <w:multiLevelType w:val="hybridMultilevel"/>
    <w:lvl w:ilvl="0">
      <w:lvlJc w:val="left"/>
      <w:lvlText w:val="●"/>
      <w:numFmt w:val="bullet"/>
      <w:start w:val="1"/>
    </w:lvl>
  </w:abstractNum>
  <w:abstractNum w:abstractNumId="26">
    <w:nsid w:val="580BD78F"/>
    <w:multiLevelType w:val="hybridMultilevel"/>
    <w:lvl w:ilvl="0">
      <w:lvlJc w:val="left"/>
      <w:lvlText w:val="●"/>
      <w:numFmt w:val="bullet"/>
      <w:start w:val="1"/>
    </w:lvl>
  </w:abstractNum>
  <w:abstractNum w:abstractNumId="27">
    <w:nsid w:val="153EA438"/>
    <w:multiLevelType w:val="hybridMultilevel"/>
    <w:lvl w:ilvl="0">
      <w:lvlJc w:val="left"/>
      <w:lvlText w:val="%1."/>
      <w:numFmt w:val="decimal"/>
      <w:start w:val="1"/>
    </w:lvl>
  </w:abstractNum>
  <w:abstractNum w:abstractNumId="28">
    <w:nsid w:val="3855585C"/>
    <w:multiLevelType w:val="hybridMultilevel"/>
    <w:lvl w:ilvl="0">
      <w:lvlJc w:val="left"/>
      <w:lvlText w:val="(%1)"/>
      <w:numFmt w:val="decimal"/>
      <w:start w:val="1"/>
    </w:lvl>
  </w:abstractNum>
  <w:abstractNum w:abstractNumId="29">
    <w:nsid w:val="70A64E2A"/>
    <w:multiLevelType w:val="hybridMultilevel"/>
    <w:lvl w:ilvl="0">
      <w:lvlJc w:val="left"/>
      <w:lvlText w:val="(%1)"/>
      <w:numFmt w:val="decimal"/>
      <w:start w:val="1"/>
    </w:lvl>
  </w:abstractNum>
  <w:abstractNum w:abstractNumId="30">
    <w:nsid w:val="6A2342EC"/>
    <w:multiLevelType w:val="hybridMultilevel"/>
    <w:lvl w:ilvl="0">
      <w:lvlJc w:val="left"/>
      <w:lvlText w:val="*"/>
      <w:numFmt w:val="bullet"/>
      <w:start w:val="1"/>
    </w:lvl>
  </w:abstractNum>
  <w:abstractNum w:abstractNumId="31">
    <w:nsid w:val="2A487CB0"/>
    <w:multiLevelType w:val="hybridMultilevel"/>
    <w:lvl w:ilvl="0">
      <w:lvlJc w:val="left"/>
      <w:lvlText w:val="(%1)"/>
      <w:numFmt w:val="decimal"/>
      <w:start w:val="1"/>
    </w:lvl>
  </w:abstractNum>
  <w:abstractNum w:abstractNumId="32">
    <w:nsid w:val="1D4ED43B"/>
    <w:multiLevelType w:val="hybridMultilevel"/>
    <w:lvl w:ilvl="0">
      <w:lvlJc w:val="left"/>
      <w:lvlText w:val="●"/>
      <w:numFmt w:val="bullet"/>
      <w:start w:val="1"/>
    </w:lvl>
  </w:abstractNum>
  <w:abstractNum w:abstractNumId="33">
    <w:nsid w:val="725A06FB"/>
    <w:multiLevelType w:val="hybridMultilevel"/>
    <w:lvl w:ilvl="0">
      <w:lvlJc w:val="left"/>
      <w:lvlText w:val="o"/>
      <w:numFmt w:val="bullet"/>
      <w:start w:val="1"/>
    </w:lvl>
  </w:abstractNum>
  <w:abstractNum w:abstractNumId="34">
    <w:nsid w:val="2CD89A32"/>
    <w:multiLevelType w:val="hybridMultilevel"/>
    <w:lvl w:ilvl="0">
      <w:lvlJc w:val="left"/>
      <w:lvlText w:val="●"/>
      <w:numFmt w:val="bullet"/>
      <w:start w:val="1"/>
    </w:lvl>
  </w:abstractNum>
  <w:abstractNum w:abstractNumId="35">
    <w:nsid w:val="57E4CCAF"/>
    <w:multiLevelType w:val="hybridMultilevel"/>
    <w:lvl w:ilvl="0">
      <w:lvlJc w:val="left"/>
      <w:lvlText w:val="(%1)"/>
      <w:numFmt w:val="lowerLetter"/>
      <w:start w:val="1"/>
    </w:lvl>
  </w:abstractNum>
  <w:abstractNum w:abstractNumId="36">
    <w:nsid w:val="7A6D8D3C"/>
    <w:multiLevelType w:val="hybridMultilevel"/>
    <w:lvl w:ilvl="0">
      <w:lvlJc w:val="left"/>
      <w:lvlText w:val="(%1)"/>
      <w:numFmt w:val="lowerLetter"/>
      <w:start w:val="2"/>
    </w:lvl>
  </w:abstractNum>
  <w:abstractNum w:abstractNumId="37">
    <w:nsid w:val="4B588F54"/>
    <w:multiLevelType w:val="hybridMultilevel"/>
    <w:lvl w:ilvl="0">
      <w:lvlJc w:val="left"/>
      <w:lvlText w:val="1"/>
      <w:numFmt w:val="bullet"/>
      <w:start w:val="1"/>
    </w:lvl>
  </w:abstractNum>
  <w:abstractNum w:abstractNumId="38">
    <w:nsid w:val="542289EC"/>
    <w:multiLevelType w:val="hybridMultilevel"/>
    <w:lvl w:ilvl="0">
      <w:lvlJc w:val="left"/>
      <w:lvlText w:val="2"/>
      <w:numFmt w:val="bullet"/>
      <w:start w:val="1"/>
    </w:lvl>
  </w:abstractNum>
  <w:abstractNum w:abstractNumId="39">
    <w:nsid w:val="6DE91B18"/>
    <w:multiLevelType w:val="hybridMultilevel"/>
    <w:lvl w:ilvl="0">
      <w:lvlJc w:val="left"/>
      <w:lvlText w:val="3"/>
      <w:numFmt w:val="bullet"/>
      <w:start w:val="1"/>
    </w:lvl>
  </w:abstractNum>
  <w:abstractNum w:abstractNumId="40">
    <w:nsid w:val="38437FDB"/>
    <w:multiLevelType w:val="hybridMultilevel"/>
    <w:lvl w:ilvl="0">
      <w:lvlJc w:val="left"/>
      <w:lvlText w:val="4"/>
      <w:numFmt w:val="bullet"/>
      <w:start w:val="1"/>
    </w:lvl>
  </w:abstractNum>
  <w:abstractNum w:abstractNumId="41">
    <w:nsid w:val="7644A45C"/>
    <w:multiLevelType w:val="hybridMultilevel"/>
    <w:lvl w:ilvl="0">
      <w:lvlJc w:val="left"/>
      <w:lvlText w:val="5"/>
      <w:numFmt w:val="bullet"/>
      <w:start w:val="1"/>
    </w:lvl>
  </w:abstractNum>
  <w:abstractNum w:abstractNumId="42">
    <w:nsid w:val="32FFF902"/>
    <w:multiLevelType w:val="hybridMultilevel"/>
    <w:lvl w:ilvl="0">
      <w:lvlJc w:val="left"/>
      <w:lvlText w:val="6"/>
      <w:numFmt w:val="bullet"/>
      <w:start w:val="1"/>
    </w:lvl>
  </w:abstractNum>
  <w:abstractNum w:abstractNumId="43">
    <w:nsid w:val="684A481A"/>
    <w:multiLevelType w:val="hybridMultilevel"/>
    <w:lvl w:ilvl="0">
      <w:lvlJc w:val="left"/>
      <w:lvlText w:val="7"/>
      <w:numFmt w:val="bullet"/>
      <w:start w:val="1"/>
    </w:lvl>
  </w:abstractNum>
  <w:abstractNum w:abstractNumId="44">
    <w:nsid w:val="579478FE"/>
    <w:multiLevelType w:val="hybridMultilevel"/>
    <w:lvl w:ilvl="0">
      <w:lvlJc w:val="left"/>
      <w:lvlText w:val="8"/>
      <w:numFmt w:val="bullet"/>
      <w:start w:val="1"/>
    </w:lvl>
  </w:abstractNum>
  <w:abstractNum w:abstractNumId="45">
    <w:nsid w:val="749ABB43"/>
    <w:multiLevelType w:val="hybridMultilevel"/>
    <w:lvl w:ilvl="0">
      <w:lvlJc w:val="left"/>
      <w:lvlText w:val="9"/>
      <w:numFmt w:val="bullet"/>
      <w:start w:val="1"/>
    </w:lvl>
  </w:abstractNum>
  <w:abstractNum w:abstractNumId="46">
    <w:nsid w:val="3DC240FB"/>
    <w:multiLevelType w:val="hybridMultilevel"/>
    <w:lvl w:ilvl="0">
      <w:lvlJc w:val="left"/>
      <w:lvlText w:val="%1"/>
      <w:numFmt w:val="decimal"/>
      <w:start w:val="10"/>
    </w:lvl>
  </w:abstractNum>
  <w:abstractNum w:abstractNumId="47">
    <w:nsid w:val="1BA026FA"/>
    <w:multiLevelType w:val="hybridMultilevel"/>
    <w:lvl w:ilvl="0">
      <w:lvlJc w:val="left"/>
      <w:lvlText w:val="●"/>
      <w:numFmt w:val="bullet"/>
      <w:start w:val="1"/>
    </w:lvl>
  </w:abstractNum>
  <w:abstractNum w:abstractNumId="48">
    <w:nsid w:val="79A1DEAA"/>
    <w:multiLevelType w:val="hybridMultilevel"/>
    <w:lvl w:ilvl="0">
      <w:lvlJc w:val="left"/>
      <w:lvlText w:val="●"/>
      <w:numFmt w:val="bullet"/>
      <w:start w:val="1"/>
    </w:lvl>
  </w:abstractNum>
  <w:abstractNum w:abstractNumId="49">
    <w:nsid w:val="75C6C33A"/>
    <w:multiLevelType w:val="hybridMultilevel"/>
    <w:lvl w:ilvl="0">
      <w:lvlJc w:val="left"/>
      <w:lvlText w:val="●"/>
      <w:numFmt w:val="bullet"/>
      <w:start w:val="1"/>
    </w:lvl>
  </w:abstractNum>
  <w:abstractNum w:abstractNumId="50">
    <w:nsid w:val="12E685FB"/>
    <w:multiLevelType w:val="hybridMultilevel"/>
    <w:lvl w:ilvl="0">
      <w:lvlJc w:val="left"/>
      <w:lvlText w:val="●"/>
      <w:numFmt w:val="bullet"/>
      <w:start w:val="1"/>
    </w:lvl>
  </w:abstractNum>
  <w:abstractNum w:abstractNumId="51">
    <w:nsid w:val="70C6A529"/>
    <w:multiLevelType w:val="hybridMultilevel"/>
    <w:lvl w:ilvl="0">
      <w:lvlJc w:val="left"/>
      <w:lvlText w:val="%1."/>
      <w:numFmt w:val="decimal"/>
      <w:start w:val="1"/>
    </w:lvl>
    <w:lvl w:ilvl="1">
      <w:lvlJc w:val="left"/>
      <w:lvlText w:val="%2."/>
      <w:numFmt w:val="lowerLetter"/>
      <w:start w:val="1"/>
    </w:lvl>
  </w:abstractNum>
  <w:abstractNum w:abstractNumId="52">
    <w:nsid w:val="520EEDD1"/>
    <w:multiLevelType w:val="hybridMultilevel"/>
    <w:lvl w:ilvl="0">
      <w:lvlJc w:val="left"/>
      <w:lvlText w:val="%1."/>
      <w:numFmt w:val="decimal"/>
      <w:start w:val="1"/>
    </w:lvl>
    <w:lvl w:ilvl="1">
      <w:lvlJc w:val="left"/>
      <w:lvlText w:val="%2."/>
      <w:numFmt w:val="lowerLetter"/>
      <w:start w:val="1"/>
    </w:lvl>
  </w:abstractNum>
  <w:abstractNum w:abstractNumId="53">
    <w:nsid w:val="374A3FE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105" Type="http://schemas.openxmlformats.org/officeDocument/2006/relationships/image" Target="media/image78.png"/><Relationship Id="rId106" Type="http://schemas.openxmlformats.org/officeDocument/2006/relationships/image" Target="media/image79.png"/><Relationship Id="rId107" Type="http://schemas.openxmlformats.org/officeDocument/2006/relationships/image" Target="media/image80.png"/><Relationship Id="rId108" Type="http://schemas.openxmlformats.org/officeDocument/2006/relationships/image" Target="media/image81.png"/><Relationship Id="rId109" Type="http://schemas.openxmlformats.org/officeDocument/2006/relationships/image" Target="media/image82.png"/><Relationship Id="rId110" Type="http://schemas.openxmlformats.org/officeDocument/2006/relationships/image" Target="media/image83.png"/><Relationship Id="rId111" Type="http://schemas.openxmlformats.org/officeDocument/2006/relationships/image" Target="media/image84.png"/><Relationship Id="rId112" Type="http://schemas.openxmlformats.org/officeDocument/2006/relationships/image" Target="media/image85.png"/><Relationship Id="rId113" Type="http://schemas.openxmlformats.org/officeDocument/2006/relationships/image" Target="media/image86.png"/><Relationship Id="rId114" Type="http://schemas.openxmlformats.org/officeDocument/2006/relationships/image" Target="media/image87.png"/><Relationship Id="rId115" Type="http://schemas.openxmlformats.org/officeDocument/2006/relationships/image" Target="media/image88.png"/><Relationship Id="rId116" Type="http://schemas.openxmlformats.org/officeDocument/2006/relationships/image" Target="media/image89.png"/><Relationship Id="rId117" Type="http://schemas.openxmlformats.org/officeDocument/2006/relationships/image" Target="media/image90.png"/><Relationship Id="rId118" Type="http://schemas.openxmlformats.org/officeDocument/2006/relationships/image" Target="media/image91.png"/><Relationship Id="rId119" Type="http://schemas.openxmlformats.org/officeDocument/2006/relationships/image" Target="media/image92.png"/><Relationship Id="rId120" Type="http://schemas.openxmlformats.org/officeDocument/2006/relationships/image" Target="media/image93.png"/><Relationship Id="rId121" Type="http://schemas.openxmlformats.org/officeDocument/2006/relationships/image" Target="media/image94.png"/><Relationship Id="rId122" Type="http://schemas.openxmlformats.org/officeDocument/2006/relationships/image" Target="media/image95.png"/><Relationship Id="rId85" Type="http://schemas.openxmlformats.org/officeDocument/2006/relationships/hyperlink" Target="http://www.sec.gov/Archives/edgar/data/1448431/000136110608000414/optimizerx_s1-ex0301.htm" TargetMode="External"/><Relationship Id="rId86" Type="http://schemas.openxmlformats.org/officeDocument/2006/relationships/hyperlink" Target="http://www.sec.gov/Archives/edgar/data/1448431/000125529410000605/ex3_1.htm" TargetMode="External"/><Relationship Id="rId87" Type="http://schemas.openxmlformats.org/officeDocument/2006/relationships/hyperlink" Target="http://www.sec.gov/Archives/edgar/data/1448431/000136110608000414/optimizerx_s1-ex0401.htm" TargetMode="External"/><Relationship Id="rId88" Type="http://schemas.openxmlformats.org/officeDocument/2006/relationships/hyperlink" Target="http://www.sec.gov/Archives/edgar/data/1448431/000125529410000492/ex4_1.htm" TargetMode="External"/><Relationship Id="rId89" Type="http://schemas.openxmlformats.org/officeDocument/2006/relationships/hyperlink" Target="http://www.sec.gov/Archives/edgar/data/1448431/000125529414000204/ex10_1.htm" TargetMode="External"/><Relationship Id="rId90" Type="http://schemas.openxmlformats.org/officeDocument/2006/relationships/hyperlink" Target="http://www.sec.gov/Archives/edgar/data/1448431/000125529414000204/ex10_2.htm" TargetMode="External"/><Relationship Id="rId91" Type="http://schemas.openxmlformats.org/officeDocument/2006/relationships/hyperlink" Target="http://www.sec.gov/Archives/edgar/data/1448431/000125529414000204/ex10_3.htm" TargetMode="External"/><Relationship Id="rId92" Type="http://schemas.openxmlformats.org/officeDocument/2006/relationships/hyperlink" Target="http://www.sec.gov/Archives/edgar/data/1448431/000125529414000402/ex10_19.htm" TargetMode="External"/><Relationship Id="rId93" Type="http://schemas.openxmlformats.org/officeDocument/2006/relationships/hyperlink" Target="http://www.sec.gov/Archives/edgar/data/1448431/000125529414000402/ex10_20.htm" TargetMode="External"/><Relationship Id="rId94" Type="http://schemas.openxmlformats.org/officeDocument/2006/relationships/hyperlink" Target="http://www.sec.gov/Archives/edgar/data/1448431/000121390015007373/f8k092415ex10i_optimizerx.htm" TargetMode="External"/><Relationship Id="rId95" Type="http://schemas.openxmlformats.org/officeDocument/2006/relationships/hyperlink" Target="http://www.sec.gov/Archives/edgar/data/1448431/000121390015007373/f8k092415ex10ii_optimizerx.htm" TargetMode="External"/><Relationship Id="rId96" Type="http://schemas.openxmlformats.org/officeDocument/2006/relationships/hyperlink" Target="http://www.sec.gov/Archives/edgar/data/1448431/000121390015007373/f8k092415ex10iii_optimizerx.htm" TargetMode="External"/><Relationship Id="rId97" Type="http://schemas.openxmlformats.org/officeDocument/2006/relationships/hyperlink" Target="http://www.sec.gov/Archives/edgar/data/1448431/000121390016011106/f8k021216ex10i_optimizerx.htm" TargetMode="External"/><Relationship Id="rId98" Type="http://schemas.openxmlformats.org/officeDocument/2006/relationships/hyperlink" Target="http://www.sec.gov/Archives/edgar/data/1448431/000121390016013077/f10q0316ex10i_optimizerx.htm" TargetMode="External"/><Relationship Id="rId99" Type="http://schemas.openxmlformats.org/officeDocument/2006/relationships/hyperlink" Target="http://www.sec.gov/Archives/edgar/data/1448431/000121390016014498/f8k062216ex10ii_optimizerx.htm" TargetMode="External"/><Relationship Id="rId100" Type="http://schemas.openxmlformats.org/officeDocument/2006/relationships/hyperlink" Target="http://www.sec.gov/Archives/edgar/data/1448431/000121390016014498/f8k062216ex10iii_optimizerx.htm" TargetMode="External"/><Relationship Id="rId101" Type="http://schemas.openxmlformats.org/officeDocument/2006/relationships/hyperlink" Target="http://www.sec.gov/Archives/edgar/data/1448431/000121390017008104/f8k073117ex10i_optimizerx.htm" TargetMode="External"/><Relationship Id="rId102" Type="http://schemas.openxmlformats.org/officeDocument/2006/relationships/hyperlink" Target="http://www.sec.gov/Archives/edgar/data/1448431/000121390016012131/f8k032916ex10i_optimizerx.htm" TargetMode="External"/><Relationship Id="rId103" Type="http://schemas.openxmlformats.org/officeDocument/2006/relationships/hyperlink" Target="http://www.sec.gov/Archives/edgar/data/1448431/000121390018001234/f8k020218ex10-1_optimizerx.htm" TargetMode="External"/><Relationship Id="rId104" Type="http://schemas.openxmlformats.org/officeDocument/2006/relationships/hyperlink" Target="http://www.sec.gov/Archives/edgar/data/1448431/000136110608000414/optimizerx_s1-ex2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2019-12-28T23:47:33Z</dcterms:created>
  <dcterms:modified xsi:type="dcterms:W3CDTF">2019-12-28T23:47:33Z</dcterms:modified>
</cp:coreProperties>
</file>