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jc w:val="both"/>
        <w:ind w:left="340" w:right="9540" w:firstLine="5"/>
        <w:spacing w:after="0" w:line="250" w:lineRule="exact"/>
        <w:tabs>
          <w:tab w:leader="none" w:pos="6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3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28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 xml:space="preserve">CUSIP No </w:t>
            </w:r>
            <w:r>
              <w:rPr>
                <w:rFonts w:ascii="Times New Roman" w:cs="Times New Roman" w:eastAsia="Times New Roman" w:hAnsi="Times New Roman"/>
                <w:sz w:val="18"/>
                <w:szCs w:val="18"/>
                <w:color w:val="auto"/>
                <w:w w:val="98"/>
              </w:rPr>
              <w:t>.68401U204</w:t>
            </w: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2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Page 2 of 7</w:t>
            </w: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spacing w:after="0"/>
              <w:rPr>
                <w:sz w:val="18"/>
                <w:szCs w:val="18"/>
                <w:color w:val="auto"/>
              </w:rPr>
            </w:pPr>
          </w:p>
        </w:tc>
        <w:tc>
          <w:tcPr>
            <w:tcW w:w="54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First Light Asset Management, LLC</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(ENTITIES ONLY)</w:t>
            </w:r>
          </w:p>
        </w:tc>
        <w:tc>
          <w:tcPr>
            <w:tcW w:w="13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46-3521994</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360" w:type="dxa"/>
            <w:vAlign w:val="bottom"/>
            <w:gridSpan w:val="5"/>
          </w:tcPr>
          <w:p>
            <w:pPr>
              <w:spacing w:after="0"/>
              <w:rPr>
                <w:sz w:val="4"/>
                <w:szCs w:val="4"/>
                <w:color w:val="auto"/>
              </w:rPr>
            </w:pPr>
          </w:p>
        </w:tc>
        <w:tc>
          <w:tcPr>
            <w:tcW w:w="22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left w:val="single" w:sz="8" w:color="auto"/>
            </w:tcBorders>
          </w:tcPr>
          <w:p>
            <w:pPr>
              <w:jc w:val="center"/>
              <w:ind w:left="176"/>
              <w:spacing w:after="0" w:line="202"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200" w:type="dxa"/>
            <w:vAlign w:val="bottom"/>
            <w:tcBorders>
              <w:top w:val="single" w:sz="8" w:color="auto"/>
              <w:right w:val="single" w:sz="8" w:color="auto"/>
            </w:tcBorders>
          </w:tcPr>
          <w:p>
            <w:pPr>
              <w:spacing w:after="0"/>
              <w:rPr>
                <w:sz w:val="17"/>
                <w:szCs w:val="17"/>
                <w:color w:val="auto"/>
              </w:rPr>
            </w:pPr>
          </w:p>
        </w:tc>
        <w:tc>
          <w:tcPr>
            <w:tcW w:w="8360" w:type="dxa"/>
            <w:vAlign w:val="bottom"/>
            <w:tcBorders>
              <w:top w:val="single" w:sz="8" w:color="auto"/>
            </w:tcBorders>
            <w:gridSpan w:val="5"/>
          </w:tcPr>
          <w:p>
            <w:pPr>
              <w:ind w:left="6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80" w:type="dxa"/>
            <w:vAlign w:val="bottom"/>
            <w:tcBorders>
              <w:top w:val="single" w:sz="8" w:color="auto"/>
            </w:tcBorders>
          </w:tcPr>
          <w:p>
            <w:pPr>
              <w:ind w:left="148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0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00" w:type="dxa"/>
            <w:vAlign w:val="bottom"/>
            <w:gridSpan w:val="2"/>
          </w:tcPr>
          <w:p>
            <w:pPr>
              <w:ind w:left="1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500" w:type="dxa"/>
            <w:vAlign w:val="bottom"/>
            <w:tcBorders>
              <w:top w:val="single" w:sz="8" w:color="auto"/>
              <w:left w:val="single" w:sz="8" w:color="auto"/>
              <w:bottom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340" w:type="dxa"/>
            <w:vAlign w:val="bottom"/>
            <w:tcBorders>
              <w:top w:val="single" w:sz="8" w:color="auto"/>
              <w:bottom w:val="single" w:sz="8" w:color="auto"/>
            </w:tcBorders>
          </w:tcPr>
          <w:p>
            <w:pPr>
              <w:spacing w:after="0"/>
              <w:rPr>
                <w:sz w:val="19"/>
                <w:szCs w:val="19"/>
                <w:color w:val="auto"/>
              </w:rPr>
            </w:pPr>
          </w:p>
        </w:tc>
        <w:tc>
          <w:tcPr>
            <w:tcW w:w="544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6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4"/>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00" w:type="dxa"/>
            <w:vAlign w:val="bottom"/>
            <w:tcBorders>
              <w:left w:val="single" w:sz="8" w:color="auto"/>
            </w:tcBorders>
          </w:tcPr>
          <w:p>
            <w:pPr>
              <w:spacing w:after="0"/>
              <w:rPr>
                <w:sz w:val="12"/>
                <w:szCs w:val="12"/>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54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500" w:type="dxa"/>
            <w:vAlign w:val="bottom"/>
            <w:tcBorders>
              <w:left w:val="single" w:sz="8" w:color="auto"/>
            </w:tcBorders>
          </w:tcPr>
          <w:p>
            <w:pPr>
              <w:spacing w:after="0"/>
              <w:rPr>
                <w:sz w:val="4"/>
                <w:szCs w:val="4"/>
                <w:color w:val="auto"/>
              </w:rPr>
            </w:pPr>
          </w:p>
        </w:tc>
        <w:tc>
          <w:tcPr>
            <w:tcW w:w="1220" w:type="dxa"/>
            <w:vAlign w:val="bottom"/>
            <w:tcBorders>
              <w:right w:val="single" w:sz="8" w:color="auto"/>
            </w:tcBorders>
            <w:gridSpan w:val="3"/>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6780" w:type="dxa"/>
            <w:vAlign w:val="bottom"/>
            <w:gridSpan w:val="2"/>
            <w:vMerge w:val="continue"/>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1,728,430</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4"/>
            <w:vMerge w:val="continue"/>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1220" w:type="dxa"/>
            <w:vAlign w:val="bottom"/>
            <w:tcBorders>
              <w:right w:val="single" w:sz="8" w:color="auto"/>
            </w:tcBorders>
            <w:gridSpan w:val="3"/>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67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vMerge w:val="continue"/>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right w:val="single" w:sz="8" w:color="auto"/>
            </w:tcBorders>
            <w:gridSpan w:val="4"/>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134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0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00" w:type="dxa"/>
            <w:vAlign w:val="bottom"/>
            <w:tcBorders>
              <w:left w:val="single" w:sz="8" w:color="auto"/>
            </w:tcBorders>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56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6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Borders>
              <w:right w:val="single" w:sz="8" w:color="auto"/>
            </w:tcBorders>
            <w:vMerge w:val="continue"/>
          </w:tcPr>
          <w:p>
            <w:pPr>
              <w:spacing w:after="0"/>
              <w:rPr>
                <w:sz w:val="9"/>
                <w:szCs w:val="9"/>
                <w:color w:val="auto"/>
              </w:rPr>
            </w:pPr>
          </w:p>
        </w:tc>
        <w:tc>
          <w:tcPr>
            <w:tcW w:w="6780" w:type="dxa"/>
            <w:vAlign w:val="bottom"/>
            <w:gridSpan w:val="2"/>
            <w:vMerge w:val="continue"/>
          </w:tcPr>
          <w:p>
            <w:pPr>
              <w:spacing w:after="0"/>
              <w:rPr>
                <w:sz w:val="9"/>
                <w:szCs w:val="9"/>
                <w:color w:val="auto"/>
              </w:rPr>
            </w:pPr>
          </w:p>
        </w:tc>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gridSpan w:val="3"/>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1,728,430</w:t>
            </w:r>
          </w:p>
        </w:tc>
        <w:tc>
          <w:tcPr>
            <w:tcW w:w="54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54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1,728,430</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0" w:type="dxa"/>
            <w:vAlign w:val="bottom"/>
            <w:tcBorders>
              <w:left w:val="single" w:sz="8" w:color="auto"/>
              <w:bottom w:val="single" w:sz="8" w:color="auto"/>
            </w:tcBorders>
          </w:tcPr>
          <w:p>
            <w:pPr>
              <w:jc w:val="center"/>
              <w:ind w:left="156"/>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00" w:type="dxa"/>
            <w:vAlign w:val="bottom"/>
            <w:tcBorders>
              <w:bottom w:val="single" w:sz="8" w:color="auto"/>
              <w:right w:val="single" w:sz="8" w:color="auto"/>
            </w:tcBorders>
          </w:tcPr>
          <w:p>
            <w:pPr>
              <w:spacing w:after="0"/>
              <w:rPr>
                <w:sz w:val="19"/>
                <w:szCs w:val="19"/>
                <w:color w:val="auto"/>
              </w:rPr>
            </w:pPr>
          </w:p>
        </w:tc>
        <w:tc>
          <w:tcPr>
            <w:tcW w:w="8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80" w:type="dxa"/>
            <w:vAlign w:val="bottom"/>
            <w:tcBorders>
              <w:bottom w:val="single" w:sz="8" w:color="auto"/>
            </w:tcBorders>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9.52%</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jc w:val="center"/>
              <w:ind w:left="156"/>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00" w:type="dxa"/>
            <w:vAlign w:val="bottom"/>
            <w:tcBorders>
              <w:right w:val="single" w:sz="8" w:color="auto"/>
            </w:tcBorders>
          </w:tcPr>
          <w:p>
            <w:pPr>
              <w:spacing w:after="0"/>
              <w:rPr>
                <w:sz w:val="20"/>
                <w:szCs w:val="20"/>
                <w:color w:val="auto"/>
              </w:rPr>
            </w:pPr>
          </w:p>
        </w:tc>
        <w:tc>
          <w:tcPr>
            <w:tcW w:w="8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3"/>
        </w:trPr>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8"/>
              </w:rPr>
              <w:t>68401U204</w:t>
            </w:r>
          </w:p>
        </w:tc>
        <w:tc>
          <w:tcPr>
            <w:tcW w:w="1200" w:type="dxa"/>
            <w:vAlign w:val="bottom"/>
            <w:tcBorders>
              <w:bottom w:val="single" w:sz="8" w:color="auto"/>
            </w:tcBorders>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Page 3 of 7</w:t>
            </w: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Mathew P. Arens</w:t>
            </w: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0" w:type="dxa"/>
            <w:vAlign w:val="bottom"/>
            <w:tcBorders>
              <w:left w:val="single" w:sz="8" w:color="auto"/>
              <w:right w:val="single" w:sz="8" w:color="auto"/>
            </w:tcBorders>
          </w:tcPr>
          <w:p>
            <w:pPr>
              <w:spacing w:after="0"/>
              <w:rPr>
                <w:sz w:val="24"/>
                <w:szCs w:val="24"/>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(ENTITIES ONLY)</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gridSpan w:val="3"/>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8180" w:type="dxa"/>
            <w:vAlign w:val="bottom"/>
            <w:gridSpan w:val="5"/>
          </w:tcPr>
          <w:p>
            <w:pPr>
              <w:ind w:left="60"/>
              <w:spacing w:after="0" w:line="20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120" w:type="dxa"/>
            <w:vAlign w:val="bottom"/>
          </w:tcPr>
          <w:p>
            <w:pPr>
              <w:ind w:left="1560"/>
              <w:spacing w:after="0" w:line="20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1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120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United State of America</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right w:val="single" w:sz="8" w:color="auto"/>
            </w:tcBorders>
            <w:gridSpan w:val="3"/>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54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860" w:type="dxa"/>
            <w:vAlign w:val="bottom"/>
            <w:tcBorders>
              <w:left w:val="single" w:sz="8" w:color="auto"/>
              <w:right w:val="single" w:sz="8" w:color="auto"/>
            </w:tcBorders>
            <w:gridSpan w:val="3"/>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6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6680" w:type="dxa"/>
            <w:vAlign w:val="bottom"/>
            <w:gridSpan w:val="2"/>
            <w:vMerge w:val="continue"/>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right w:val="single" w:sz="8" w:color="auto"/>
            </w:tcBorders>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1,728,430</w:t>
            </w:r>
          </w:p>
        </w:tc>
        <w:tc>
          <w:tcPr>
            <w:tcW w:w="5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66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Borders>
              <w:right w:val="single" w:sz="8" w:color="auto"/>
            </w:tcBorders>
            <w:vMerge w:val="continue"/>
          </w:tcPr>
          <w:p>
            <w:pPr>
              <w:spacing w:after="0"/>
              <w:rPr>
                <w:sz w:val="14"/>
                <w:szCs w:val="14"/>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auto"/>
              <w:right w:val="single" w:sz="8" w:color="auto"/>
            </w:tcBorders>
            <w:gridSpan w:val="3"/>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00" w:type="dxa"/>
            <w:vAlign w:val="bottom"/>
            <w:vMerge w:val="continue"/>
          </w:tcPr>
          <w:p>
            <w:pPr>
              <w:spacing w:after="0"/>
              <w:rPr>
                <w:sz w:val="4"/>
                <w:szCs w:val="4"/>
                <w:color w:val="auto"/>
              </w:rPr>
            </w:pPr>
          </w:p>
        </w:tc>
        <w:tc>
          <w:tcPr>
            <w:tcW w:w="5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60" w:type="dxa"/>
            <w:vAlign w:val="bottom"/>
            <w:tcBorders>
              <w:left w:val="single" w:sz="8" w:color="auto"/>
              <w:right w:val="single" w:sz="8" w:color="auto"/>
            </w:tcBorders>
            <w:gridSpan w:val="3"/>
            <w:vMerge w:val="continue"/>
          </w:tcPr>
          <w:p>
            <w:pPr>
              <w:spacing w:after="0"/>
              <w:rPr>
                <w:sz w:val="11"/>
                <w:szCs w:val="11"/>
                <w:color w:val="auto"/>
              </w:rPr>
            </w:pPr>
          </w:p>
        </w:tc>
        <w:tc>
          <w:tcPr>
            <w:tcW w:w="58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6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Borders>
              <w:right w:val="single" w:sz="8" w:color="auto"/>
            </w:tcBorders>
            <w:vMerge w:val="continue"/>
          </w:tcPr>
          <w:p>
            <w:pPr>
              <w:spacing w:after="0"/>
              <w:rPr>
                <w:sz w:val="9"/>
                <w:szCs w:val="9"/>
                <w:color w:val="auto"/>
              </w:rPr>
            </w:pPr>
          </w:p>
        </w:tc>
        <w:tc>
          <w:tcPr>
            <w:tcW w:w="668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1,728,430</w:t>
            </w:r>
          </w:p>
        </w:tc>
        <w:tc>
          <w:tcPr>
            <w:tcW w:w="5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40" w:type="dxa"/>
            <w:vAlign w:val="bottom"/>
            <w:tcBorders>
              <w:left w:val="single" w:sz="8" w:color="auto"/>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1,728,430</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120" w:type="dxa"/>
            <w:vAlign w:val="bottom"/>
            <w:tcBorders>
              <w:bottom w:val="single" w:sz="8" w:color="auto"/>
            </w:tcBorders>
          </w:tcPr>
          <w:p>
            <w:pPr>
              <w:jc w:val="center"/>
              <w:ind w:left="99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9.52%</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40"/>
        </w:trPr>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68401U204</w:t>
            </w:r>
          </w:p>
        </w:tc>
        <w:tc>
          <w:tcPr>
            <w:tcW w:w="670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Page 4 of 7</w:t>
            </w:r>
          </w:p>
        </w:tc>
      </w:tr>
      <w:tr>
        <w:trPr>
          <w:trHeight w:val="4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OptimizeRx Corporation</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400 Water Street, Suite 200, Rochester, MI, 48307</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Schedule 13G is being jointly filed by the following:</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Mathew P. Arens (“Mr. Arens”)</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Manager may be deemed to be the beneficial owner of the Issuer’s shares of common stock (the “Shares”). The Manager acts as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 investment adviser to certain persons holding separately managed accounts with the Manager, each of whom has the right to receive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the power to direct the receipt of dividends from, or the proceeds from the sale of, those shares. The Manager may also be deemed</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 be the beneficial owner of these shares because it acts as an investment adviser to certain private funds. Mr. Arens may also be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deemed to be the beneficial owner of these shares because he controls the Manager in his position as managing member and majority</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owner of the Manager. The Manager and Mr. Arens are filing this Schedule 13G with respect to these Shares pursuant to Rule 13d-1(b)</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the Act.</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Manager and Mr. Arens may be deemed to be the beneficial owner of the total amount of Shares set forth across from its or his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respective name in Item 4 below. The filing of this Schedule 13G shall not be construed as an admission that the reporting persons or</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any of their affiliates are the beneficial owner of any securities covered by this Schedule 13G for any other purposes other than Section</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13(d) of the Securities Exchange Act of 1934.</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Each of the reporting persons identified in Item 2(a) has its principal business office at:</w:t>
            </w:r>
          </w:p>
        </w:tc>
        <w:tc>
          <w:tcPr>
            <w:tcW w:w="104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3300 Edinborough Way, Suite 201, Edina, MN 55435</w:t>
            </w:r>
          </w:p>
        </w:tc>
        <w:tc>
          <w:tcPr>
            <w:tcW w:w="1040" w:type="dxa"/>
            <w:vAlign w:val="bottom"/>
          </w:tcPr>
          <w:p>
            <w:pPr>
              <w:spacing w:after="0"/>
              <w:rPr>
                <w:sz w:val="24"/>
                <w:szCs w:val="24"/>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104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First Light Asset Management, LLC – Delaware limited liability company</w:t>
            </w:r>
          </w:p>
        </w:tc>
        <w:tc>
          <w:tcPr>
            <w:tcW w:w="10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Mathew P. Arens – United States citizen</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4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0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68401U204</w:t>
            </w:r>
          </w:p>
        </w:tc>
        <w:tc>
          <w:tcPr>
            <w:tcW w:w="1040" w:type="dxa"/>
            <w:vAlign w:val="bottom"/>
          </w:tcPr>
          <w:p>
            <w:pPr>
              <w:spacing w:after="0"/>
              <w:rPr>
                <w:sz w:val="20"/>
                <w:szCs w:val="20"/>
                <w:color w:val="auto"/>
              </w:rPr>
            </w:pPr>
          </w:p>
        </w:tc>
      </w:tr>
      <w:tr>
        <w:trPr>
          <w:trHeight w:val="37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c>
          <w:tcPr>
            <w:tcW w:w="1040" w:type="dxa"/>
            <w:vAlign w:val="bottom"/>
          </w:tcPr>
          <w:p>
            <w:pPr>
              <w:spacing w:after="0"/>
              <w:rPr>
                <w:sz w:val="24"/>
                <w:szCs w:val="24"/>
                <w:color w:val="auto"/>
              </w:rPr>
            </w:pPr>
          </w:p>
        </w:tc>
      </w:tr>
      <w:tr>
        <w:trPr>
          <w:trHeight w:val="303"/>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c>
          <w:tcPr>
            <w:tcW w:w="1040" w:type="dxa"/>
            <w:vAlign w:val="bottom"/>
          </w:tcPr>
          <w:p>
            <w:pPr>
              <w:spacing w:after="0"/>
              <w:rPr>
                <w:sz w:val="24"/>
                <w:szCs w:val="24"/>
                <w:color w:val="auto"/>
              </w:rPr>
            </w:pPr>
          </w:p>
        </w:tc>
      </w:tr>
      <w:tr>
        <w:trPr>
          <w:trHeight w:val="427"/>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c>
          <w:tcPr>
            <w:tcW w:w="104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3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c>
          <w:tcPr>
            <w:tcW w:w="1040" w:type="dxa"/>
            <w:vAlign w:val="bottom"/>
          </w:tcPr>
          <w:p>
            <w:pPr>
              <w:spacing w:after="0"/>
              <w:rPr>
                <w:sz w:val="24"/>
                <w:szCs w:val="24"/>
                <w:color w:val="auto"/>
              </w:rPr>
            </w:pPr>
          </w:p>
        </w:tc>
      </w:tr>
      <w:tr>
        <w:trPr>
          <w:trHeight w:val="431"/>
        </w:trPr>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108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68401U204</w:t>
      </w:r>
      <w:r>
        <w:rPr>
          <w:sz w:val="20"/>
          <w:szCs w:val="20"/>
          <w:color w:val="auto"/>
        </w:rPr>
        <w:tab/>
      </w: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1534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82" w:lineRule="exact"/>
        <w:rPr>
          <w:sz w:val="20"/>
          <w:szCs w:val="20"/>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§240.13d-1(b)(ii)(G);</w:t>
      </w:r>
    </w:p>
    <w:p>
      <w:pPr>
        <w:spacing w:after="0" w:line="225"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20" w:right="240" w:hanging="727"/>
        <w:spacing w:after="0" w:line="245" w:lineRule="exact"/>
        <w:tabs>
          <w:tab w:leader="none" w:pos="142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158" w:lineRule="exact"/>
        <w:rPr>
          <w:rFonts w:ascii="Times New Roman" w:cs="Times New Roman" w:eastAsia="Times New Roman" w:hAnsi="Times New Roman"/>
          <w:sz w:val="18"/>
          <w:szCs w:val="18"/>
          <w:color w:val="auto"/>
        </w:rPr>
      </w:pPr>
    </w:p>
    <w:p>
      <w:pPr>
        <w:ind w:left="1420" w:hanging="427"/>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1420" w:right="6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1,728,430 Mathew P. Arens – 1,728,430</w:t>
      </w:r>
    </w:p>
    <w:p>
      <w:pPr>
        <w:spacing w:after="0" w:line="181"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420" w:right="6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9.52% Mathew P. Arens – 9.52%</w:t>
      </w:r>
    </w:p>
    <w:p>
      <w:pPr>
        <w:spacing w:after="0" w:line="39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720" w:right="6620" w:hanging="295"/>
        <w:spacing w:after="0" w:line="266"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First Light Asset Management, LLC – 0 Mathew P. Arens – 0</w:t>
      </w:r>
    </w:p>
    <w:p>
      <w:pPr>
        <w:spacing w:after="0" w:line="175" w:lineRule="exact"/>
        <w:rPr>
          <w:rFonts w:ascii="Times New Roman" w:cs="Times New Roman" w:eastAsia="Times New Roman" w:hAnsi="Times New Roman"/>
          <w:sz w:val="18"/>
          <w:szCs w:val="18"/>
          <w:color w:val="auto"/>
        </w:rPr>
      </w:pPr>
    </w:p>
    <w:p>
      <w:pPr>
        <w:ind w:left="1720" w:hanging="295"/>
        <w:spacing w:after="0"/>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rFonts w:ascii="Times New Roman" w:cs="Times New Roman" w:eastAsia="Times New Roman" w:hAnsi="Times New Roman"/>
          <w:sz w:val="18"/>
          <w:szCs w:val="18"/>
          <w:color w:val="auto"/>
        </w:rPr>
      </w:pPr>
    </w:p>
    <w:p>
      <w:pPr>
        <w:ind w:left="1720" w:right="60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Light Asset Management, LLC – 1,728,430 Mathew P. Arens – 1,728,430</w:t>
      </w:r>
    </w:p>
    <w:p>
      <w:pPr>
        <w:spacing w:after="0" w:line="181" w:lineRule="exact"/>
        <w:rPr>
          <w:rFonts w:ascii="Times New Roman" w:cs="Times New Roman" w:eastAsia="Times New Roman" w:hAnsi="Times New Roman"/>
          <w:sz w:val="18"/>
          <w:szCs w:val="18"/>
          <w:color w:val="auto"/>
        </w:rPr>
      </w:pPr>
    </w:p>
    <w:p>
      <w:pPr>
        <w:ind w:left="1720" w:right="5800" w:hanging="295"/>
        <w:spacing w:after="0" w:line="266"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First Light Asset Management, LLC – 0 Mathew P. Arens – 0</w:t>
      </w:r>
    </w:p>
    <w:p>
      <w:pPr>
        <w:spacing w:after="0" w:line="175" w:lineRule="exact"/>
        <w:rPr>
          <w:rFonts w:ascii="Times New Roman" w:cs="Times New Roman" w:eastAsia="Times New Roman" w:hAnsi="Times New Roman"/>
          <w:sz w:val="18"/>
          <w:szCs w:val="18"/>
          <w:color w:val="auto"/>
        </w:rPr>
      </w:pPr>
    </w:p>
    <w:p>
      <w:pPr>
        <w:ind w:left="1720" w:right="5620" w:hanging="295"/>
        <w:spacing w:after="0" w:line="266"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First Light Asset Management, LLC – 1,728,430 Mathew P. Arens – 1,728,430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tabs>
          <w:tab w:leader="none" w:pos="1240" w:val="left"/>
          <w:tab w:leader="none" w:pos="1040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68401U204</w:t>
      </w:r>
      <w:r>
        <w:rPr>
          <w:sz w:val="20"/>
          <w:szCs w:val="20"/>
          <w:color w:val="auto"/>
        </w:rPr>
        <w:tab/>
      </w: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1499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140" w:right="80"/>
        <w:spacing w:after="0" w:line="230"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ind w:left="1140" w:right="760" w:hanging="1133"/>
        <w:spacing w:after="0" w:line="263"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Mathew P.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7</w:t>
      </w:r>
    </w:p>
    <w:p>
      <w:pPr>
        <w:spacing w:after="0" w:line="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5715</wp:posOffset>
            </wp:positionV>
            <wp:extent cx="1499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OptimizeRx Corporation dated as of February 14, 2024, is, and any amendment thereto signed by each of the undersigned shall be, filed on behalf of each of them pursuant to and in accordance with the provisions of Rule 13d-1(k) under the Securities Exchange Act of 1934, as amended.</w:t>
      </w:r>
    </w:p>
    <w:p>
      <w:pPr>
        <w:spacing w:after="0" w:line="38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7460" w:type="dxa"/>
            <w:vAlign w:val="bottom"/>
          </w:tcPr>
          <w:p>
            <w:pPr>
              <w:ind w:left="6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r>
      <w:tr>
        <w:trPr>
          <w:trHeight w:val="234"/>
        </w:trPr>
        <w:tc>
          <w:tcPr>
            <w:tcW w:w="746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648"/>
        </w:trPr>
        <w:tc>
          <w:tcPr>
            <w:tcW w:w="746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Signature:</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Mathew P. Arens</w:t>
            </w:r>
          </w:p>
        </w:tc>
      </w:tr>
      <w:tr>
        <w:trPr>
          <w:trHeight w:val="228"/>
        </w:trPr>
        <w:tc>
          <w:tcPr>
            <w:tcW w:w="746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Mathew P. Arens</w:t>
            </w:r>
          </w:p>
        </w:tc>
      </w:tr>
      <w:tr>
        <w:trPr>
          <w:trHeight w:val="873"/>
        </w:trPr>
        <w:tc>
          <w:tcPr>
            <w:tcW w:w="7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6"/>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2024-02-14T18:15:21Z</dcterms:created>
  <dcterms:modified xsi:type="dcterms:W3CDTF">2024-02-14T18:15:21Z</dcterms:modified>
</cp:coreProperties>
</file>