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6,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26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190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gridSpan w:val="3"/>
          </w:tcPr>
          <w:p>
            <w:pPr>
              <w:jc w:val="right"/>
              <w:ind w:right="1340"/>
              <w:spacing w:after="0"/>
              <w:rPr>
                <w:sz w:val="20"/>
                <w:szCs w:val="20"/>
                <w:color w:val="auto"/>
              </w:rPr>
            </w:pPr>
            <w:r>
              <w:rPr>
                <w:rFonts w:ascii="Arial" w:cs="Arial" w:eastAsia="Arial" w:hAnsi="Arial"/>
                <w:sz w:val="18"/>
                <w:szCs w:val="18"/>
                <w:color w:val="auto"/>
                <w:w w:val="88"/>
              </w:rPr>
              <w:t>001-38543</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60" w:type="dxa"/>
            <w:vAlign w:val="bottom"/>
            <w:gridSpan w:val="4"/>
          </w:tcPr>
          <w:p>
            <w:pPr>
              <w:jc w:val="center"/>
              <w:ind w:right="510"/>
              <w:spacing w:after="0"/>
              <w:rPr>
                <w:sz w:val="20"/>
                <w:szCs w:val="20"/>
                <w:color w:val="auto"/>
              </w:rPr>
            </w:pPr>
            <w:r>
              <w:rPr>
                <w:rFonts w:ascii="Arial" w:cs="Arial" w:eastAsia="Arial" w:hAnsi="Arial"/>
                <w:sz w:val="18"/>
                <w:szCs w:val="18"/>
                <w:color w:val="auto"/>
                <w:w w:val="92"/>
              </w:rPr>
              <w:t>(State or other jurisdiction of incorporation)</w:t>
            </w:r>
          </w:p>
        </w:tc>
        <w:tc>
          <w:tcPr>
            <w:tcW w:w="3320" w:type="dxa"/>
            <w:vAlign w:val="bottom"/>
            <w:gridSpan w:val="4"/>
          </w:tcPr>
          <w:p>
            <w:pPr>
              <w:jc w:val="center"/>
              <w:ind w:right="140"/>
              <w:spacing w:after="0"/>
              <w:rPr>
                <w:sz w:val="20"/>
                <w:szCs w:val="20"/>
                <w:color w:val="auto"/>
              </w:rPr>
            </w:pPr>
            <w:r>
              <w:rPr>
                <w:rFonts w:ascii="Arial" w:cs="Arial" w:eastAsia="Arial" w:hAnsi="Arial"/>
                <w:sz w:val="18"/>
                <w:szCs w:val="18"/>
                <w:color w:val="auto"/>
                <w:w w:val="92"/>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gridSpan w:val="3"/>
          </w:tcPr>
          <w:p>
            <w:pPr>
              <w:jc w:val="center"/>
              <w:spacing w:after="0"/>
              <w:rPr>
                <w:sz w:val="20"/>
                <w:szCs w:val="20"/>
                <w:color w:val="auto"/>
              </w:rPr>
            </w:pPr>
            <w:r>
              <w:rPr>
                <w:rFonts w:ascii="Arial" w:cs="Arial" w:eastAsia="Arial" w:hAnsi="Arial"/>
                <w:sz w:val="18"/>
                <w:szCs w:val="18"/>
                <w:color w:val="auto"/>
                <w:w w:val="90"/>
              </w:rPr>
              <w:t>400 Water Street, Suite 200, Rochester, MI</w:t>
            </w:r>
          </w:p>
        </w:tc>
        <w:tc>
          <w:tcPr>
            <w:tcW w:w="1960" w:type="dxa"/>
            <w:vAlign w:val="bottom"/>
            <w:gridSpan w:val="2"/>
          </w:tcPr>
          <w:p>
            <w:pPr>
              <w:spacing w:after="0"/>
              <w:rPr>
                <w:sz w:val="24"/>
                <w:szCs w:val="24"/>
                <w:color w:val="auto"/>
              </w:rPr>
            </w:pPr>
          </w:p>
        </w:tc>
        <w:tc>
          <w:tcPr>
            <w:tcW w:w="2500" w:type="dxa"/>
            <w:vAlign w:val="bottom"/>
            <w:gridSpan w:val="4"/>
          </w:tcPr>
          <w:p>
            <w:pPr>
              <w:jc w:val="right"/>
              <w:ind w:right="18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gridSpan w:val="3"/>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96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78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4"/>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9"/>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260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Trading symbol</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3"/>
              </w:rPr>
              <w:t>OPRX</w:t>
            </w:r>
          </w:p>
        </w:tc>
        <w:tc>
          <w:tcPr>
            <w:tcW w:w="2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56"/>
        </w:trPr>
        <w:tc>
          <w:tcPr>
            <w:tcW w:w="36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459"/>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May 6, 2021, we issued a press release announcing the results of operations for the quarter ended March 31, 2021 and other matters. The press release is furnished with this Current Report on Form 8-K as Exhibit 99.1.</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40" w:type="dxa"/>
            <w:vAlign w:val="bottom"/>
            <w:gridSpan w:val="3"/>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18"/>
        </w:trPr>
        <w:tc>
          <w:tcPr>
            <w:tcW w:w="11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140" w:type="dxa"/>
            <w:vAlign w:val="bottom"/>
            <w:gridSpan w:val="3"/>
          </w:tcPr>
          <w:p>
            <w:pPr>
              <w:ind w:left="60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100" w:type="dxa"/>
            <w:vAlign w:val="bottom"/>
          </w:tcPr>
          <w:p>
            <w:pPr>
              <w:spacing w:after="0" w:line="190" w:lineRule="exact"/>
              <w:rPr>
                <w:sz w:val="20"/>
                <w:szCs w:val="20"/>
                <w:color w:val="auto"/>
              </w:rPr>
            </w:pPr>
            <w:r>
              <w:rPr>
                <w:rFonts w:ascii="Arial" w:cs="Arial" w:eastAsia="Arial" w:hAnsi="Arial"/>
                <w:sz w:val="18"/>
                <w:szCs w:val="18"/>
                <w:color w:val="auto"/>
              </w:rPr>
              <w:t>99.1</w:t>
            </w:r>
          </w:p>
        </w:tc>
        <w:tc>
          <w:tcPr>
            <w:tcW w:w="10140" w:type="dxa"/>
            <w:vAlign w:val="bottom"/>
            <w:gridSpan w:val="3"/>
          </w:tcPr>
          <w:p>
            <w:pPr>
              <w:ind w:left="600"/>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May 6, 2021</w:t>
              </w:r>
            </w:hyperlink>
          </w:p>
        </w:tc>
      </w:tr>
      <w:tr>
        <w:trPr>
          <w:trHeight w:val="588"/>
        </w:trPr>
        <w:tc>
          <w:tcPr>
            <w:tcW w:w="1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360" w:type="dxa"/>
            <w:vAlign w:val="bottom"/>
            <w:tcBorders>
              <w:top w:val="single" w:sz="8" w:color="0000EE"/>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154305</wp:posOffset>
            </wp:positionV>
            <wp:extent cx="2005965" cy="471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596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Reports First Quarter 2021 Financial Results, Revenue Up 48% on Rising Enterprise Adoption of Digital Health</w:t>
      </w:r>
    </w:p>
    <w:p>
      <w:pPr>
        <w:spacing w:after="0" w:line="229" w:lineRule="exact"/>
        <w:rPr>
          <w:sz w:val="20"/>
          <w:szCs w:val="20"/>
          <w:color w:val="auto"/>
        </w:rPr>
      </w:pPr>
    </w:p>
    <w:p>
      <w:pPr>
        <w:ind w:left="3280" w:hanging="284"/>
        <w:spacing w:after="0"/>
        <w:tabs>
          <w:tab w:leader="none" w:pos="3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Up 48% to $11.2 million, closing on 33 enterprise contracts</w:t>
      </w:r>
    </w:p>
    <w:p>
      <w:pPr>
        <w:spacing w:after="0" w:line="23" w:lineRule="exact"/>
        <w:rPr>
          <w:rFonts w:ascii="Arial" w:cs="Arial" w:eastAsia="Arial" w:hAnsi="Arial"/>
          <w:sz w:val="18"/>
          <w:szCs w:val="18"/>
          <w:color w:val="auto"/>
        </w:rPr>
      </w:pPr>
    </w:p>
    <w:p>
      <w:pPr>
        <w:ind w:left="3300" w:hanging="294"/>
        <w:spacing w:after="0"/>
        <w:tabs>
          <w:tab w:leader="none" w:pos="3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recurring revenue stream, reaching new base of customers</w:t>
      </w:r>
    </w:p>
    <w:p>
      <w:pPr>
        <w:spacing w:after="0" w:line="9" w:lineRule="exact"/>
        <w:rPr>
          <w:rFonts w:ascii="Arial" w:cs="Arial" w:eastAsia="Arial" w:hAnsi="Arial"/>
          <w:sz w:val="18"/>
          <w:szCs w:val="18"/>
          <w:color w:val="auto"/>
        </w:rPr>
      </w:pPr>
    </w:p>
    <w:p>
      <w:pPr>
        <w:ind w:left="3940" w:hanging="287"/>
        <w:spacing w:after="0"/>
        <w:tabs>
          <w:tab w:leader="none" w:pos="394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Cash flow positive from operations of $1.7 million</w:t>
      </w:r>
    </w:p>
    <w:p>
      <w:pPr>
        <w:spacing w:after="0" w:line="20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ROCHESTER, Mich. – May 6, 2021 – </w:t>
      </w:r>
      <w:r>
        <w:rPr>
          <w:rFonts w:ascii="Arial" w:cs="Arial" w:eastAsia="Arial" w:hAnsi="Arial"/>
          <w:sz w:val="18"/>
          <w:szCs w:val="18"/>
          <w:color w:val="auto"/>
        </w:rPr>
        <w:t>OptimizeRx Corp. (the “Company”) (Nasdaq: OPRX), a leading provider of digital health solutions for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companies, physicians and patients, reported results for the three months ended March 31, 2021. Quarterly comparisons are to the same year-ago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Highlights</w:t>
      </w:r>
    </w:p>
    <w:p>
      <w:pPr>
        <w:spacing w:after="0" w:line="27" w:lineRule="exact"/>
        <w:rPr>
          <w:sz w:val="20"/>
          <w:szCs w:val="20"/>
          <w:color w:val="auto"/>
        </w:rPr>
      </w:pPr>
    </w:p>
    <w:p>
      <w:pPr>
        <w:ind w:left="340" w:hanging="251"/>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 the first quarter of 2021 increased 48% to a record $11.2 million, from $7.6 million as compared to the same year ago period.</w:t>
      </w:r>
    </w:p>
    <w:p>
      <w:pPr>
        <w:spacing w:after="0" w:line="102" w:lineRule="exact"/>
        <w:rPr>
          <w:rFonts w:ascii="Arial" w:cs="Arial" w:eastAsia="Arial" w:hAnsi="Arial"/>
          <w:sz w:val="18"/>
          <w:szCs w:val="18"/>
          <w:color w:val="auto"/>
        </w:rPr>
      </w:pPr>
    </w:p>
    <w:p>
      <w:pPr>
        <w:ind w:left="340" w:hanging="251"/>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in the first quarter of 2021 increased 41% to $6.1 million.</w:t>
      </w:r>
    </w:p>
    <w:p>
      <w:pPr>
        <w:spacing w:after="0" w:line="117" w:lineRule="exact"/>
        <w:rPr>
          <w:rFonts w:ascii="Arial" w:cs="Arial" w:eastAsia="Arial" w:hAnsi="Arial"/>
          <w:sz w:val="18"/>
          <w:szCs w:val="18"/>
          <w:color w:val="auto"/>
        </w:rPr>
      </w:pPr>
    </w:p>
    <w:p>
      <w:pPr>
        <w:ind w:left="340" w:hanging="251"/>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net loss totaled $0.6 million or $(0.04) per basic and diluted share in the first quarter.</w:t>
      </w:r>
    </w:p>
    <w:p>
      <w:pPr>
        <w:spacing w:after="0" w:line="117" w:lineRule="exact"/>
        <w:rPr>
          <w:rFonts w:ascii="Arial" w:cs="Arial" w:eastAsia="Arial" w:hAnsi="Arial"/>
          <w:sz w:val="18"/>
          <w:szCs w:val="18"/>
          <w:color w:val="auto"/>
        </w:rPr>
      </w:pPr>
    </w:p>
    <w:p>
      <w:pPr>
        <w:ind w:left="340" w:right="200" w:hanging="251"/>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net income in the first quarter totaled $0.6 million or $0.04 per basic and $0.03 per fully diluted share respectively (see definition of this non-GAAP measure and reconciliation to GAAP, below).</w:t>
      </w:r>
    </w:p>
    <w:p>
      <w:pPr>
        <w:spacing w:after="0" w:line="62" w:lineRule="exact"/>
        <w:rPr>
          <w:rFonts w:ascii="Arial" w:cs="Arial" w:eastAsia="Arial" w:hAnsi="Arial"/>
          <w:sz w:val="18"/>
          <w:szCs w:val="18"/>
          <w:color w:val="auto"/>
        </w:rPr>
      </w:pPr>
    </w:p>
    <w:p>
      <w:pPr>
        <w:ind w:left="340" w:right="180" w:hanging="251"/>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totaled $82.3 million as of March 31, 2021 as compared to $10.5 million as of December 31, 2020. This was a result of an equity offering in February where we raised $70.7 million.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Highlights</w:t>
      </w:r>
    </w:p>
    <w:p>
      <w:pPr>
        <w:spacing w:after="0" w:line="27" w:lineRule="exact"/>
        <w:rPr>
          <w:sz w:val="20"/>
          <w:szCs w:val="20"/>
          <w:color w:val="auto"/>
        </w:rPr>
      </w:pPr>
    </w:p>
    <w:p>
      <w:pPr>
        <w:ind w:left="420" w:hanging="331"/>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Secured new enterprise-level deals for 2021 that provide access to the company’s full suite of solutions and nationwide digital healthcare platform.</w:t>
      </w:r>
    </w:p>
    <w:p>
      <w:pPr>
        <w:spacing w:after="0" w:line="233" w:lineRule="exact"/>
        <w:rPr>
          <w:rFonts w:ascii="Arial" w:cs="Arial" w:eastAsia="Arial" w:hAnsi="Arial"/>
          <w:sz w:val="16"/>
          <w:szCs w:val="16"/>
          <w:color w:val="auto"/>
        </w:rPr>
      </w:pPr>
    </w:p>
    <w:p>
      <w:pPr>
        <w:ind w:left="420" w:right="200" w:hanging="331"/>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Enhanced our leadership team by adding a General Counsel &amp; Chief Compliance Officer as well as elevated the Chief Technology Officer to report directly to the CEO.</w:t>
      </w:r>
    </w:p>
    <w:p>
      <w:pPr>
        <w:spacing w:after="0" w:line="62" w:lineRule="exact"/>
        <w:rPr>
          <w:rFonts w:ascii="Arial" w:cs="Arial" w:eastAsia="Arial" w:hAnsi="Arial"/>
          <w:sz w:val="18"/>
          <w:szCs w:val="18"/>
          <w:color w:val="auto"/>
        </w:rPr>
      </w:pPr>
    </w:p>
    <w:p>
      <w:pPr>
        <w:ind w:left="420" w:hanging="331"/>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Secured multiple new channel partnerships outside of electronic health record companies for additional reach to oncologists and other specialties.</w:t>
      </w:r>
    </w:p>
    <w:p>
      <w:pPr>
        <w:spacing w:after="0" w:line="140" w:lineRule="exact"/>
        <w:rPr>
          <w:rFonts w:ascii="Arial" w:cs="Arial" w:eastAsia="Arial" w:hAnsi="Arial"/>
          <w:sz w:val="16"/>
          <w:szCs w:val="16"/>
          <w:color w:val="auto"/>
        </w:rPr>
      </w:pPr>
    </w:p>
    <w:p>
      <w:pPr>
        <w:ind w:left="420" w:hanging="331"/>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Committed to an inclusion and diversity pledge.</w:t>
      </w:r>
    </w:p>
    <w:p>
      <w:pPr>
        <w:spacing w:after="0" w:line="117" w:lineRule="exact"/>
        <w:rPr>
          <w:rFonts w:ascii="Arial" w:cs="Arial" w:eastAsia="Arial" w:hAnsi="Arial"/>
          <w:sz w:val="18"/>
          <w:szCs w:val="18"/>
          <w:color w:val="auto"/>
        </w:rPr>
      </w:pPr>
    </w:p>
    <w:p>
      <w:pPr>
        <w:ind w:left="420" w:hanging="331"/>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Enhanced our patient engagement commercial team to further scale that portion of the business.</w:t>
      </w:r>
    </w:p>
    <w:p>
      <w:pPr>
        <w:spacing w:after="0" w:line="117" w:lineRule="exact"/>
        <w:rPr>
          <w:rFonts w:ascii="Arial" w:cs="Arial" w:eastAsia="Arial" w:hAnsi="Arial"/>
          <w:sz w:val="18"/>
          <w:szCs w:val="18"/>
          <w:color w:val="auto"/>
        </w:rPr>
      </w:pPr>
    </w:p>
    <w:p>
      <w:pPr>
        <w:ind w:left="420" w:hanging="331"/>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Consolidated our technology centers of excellence in Croatia.</w:t>
      </w:r>
    </w:p>
    <w:p>
      <w:pPr>
        <w:spacing w:after="0" w:line="117" w:lineRule="exact"/>
        <w:rPr>
          <w:rFonts w:ascii="Arial" w:cs="Arial" w:eastAsia="Arial" w:hAnsi="Arial"/>
          <w:sz w:val="18"/>
          <w:szCs w:val="18"/>
          <w:color w:val="auto"/>
        </w:rPr>
      </w:pPr>
    </w:p>
    <w:p>
      <w:pPr>
        <w:ind w:left="420" w:hanging="331"/>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all integration work for previous two acquisitions and paid last earnout payment related to acquisitions.</w:t>
      </w:r>
    </w:p>
    <w:p>
      <w:pPr>
        <w:spacing w:after="0" w:line="117" w:lineRule="exact"/>
        <w:rPr>
          <w:rFonts w:ascii="Arial" w:cs="Arial" w:eastAsia="Arial" w:hAnsi="Arial"/>
          <w:sz w:val="18"/>
          <w:szCs w:val="18"/>
          <w:color w:val="auto"/>
        </w:rPr>
      </w:pPr>
    </w:p>
    <w:p>
      <w:pPr>
        <w:ind w:left="420" w:hanging="331"/>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Maintained a no travel, virtual operational plan with a particular focus on training, open communication, and great work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Management Commentary</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“We’ve had a strong start to the new year and are pleased with the Company’s financial and operational performance. We finished the quarter cash flow positive from operations, generating meaningful revenue growth, and closing on client renewals and new business alike,” said OptimizeRx CEO, William Febbo. “The demand for OptimizeRx’s digital health platform and services has increasingly become self-evident as we continue to invest in the business, supporting further enterprise growth well into the near and foreseeable future.</w:t>
      </w:r>
    </w:p>
    <w:p>
      <w:pPr>
        <w:spacing w:after="0" w:line="11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“To put this into perspective, of the 46 enterprise engagements announced at the end of 2020, we closed on 33 of these this quarter, worth $25 million in annual contract value. What is clear is that the business is highly resistant to macro shocks as the acceleration and adoption of digital health remains a long-term trend.</w:t>
      </w:r>
    </w:p>
    <w:p>
      <w:pPr>
        <w:spacing w:after="0" w:line="103" w:lineRule="exact"/>
        <w:rPr>
          <w:sz w:val="20"/>
          <w:szCs w:val="20"/>
          <w:color w:val="auto"/>
        </w:rPr>
      </w:pPr>
    </w:p>
    <w:p>
      <w:pPr>
        <w:ind w:right="600"/>
        <w:spacing w:after="0" w:line="273" w:lineRule="auto"/>
        <w:rPr>
          <w:sz w:val="20"/>
          <w:szCs w:val="20"/>
          <w:color w:val="auto"/>
        </w:rPr>
      </w:pPr>
      <w:r>
        <w:rPr>
          <w:rFonts w:ascii="Arial" w:cs="Arial" w:eastAsia="Arial" w:hAnsi="Arial"/>
          <w:sz w:val="17"/>
          <w:szCs w:val="17"/>
          <w:color w:val="auto"/>
        </w:rPr>
        <w:t>“In order to support this exciting growth while maintaining operational excellence, we have enhanced the Company’s infrastructure across strategic functions and leadership roles. This expansion of human capital is directly in line with the planned buildout of a vibrantly growing, highly scalable technology business across its sales, technology centers, engagement and new business development lifecycles. The result of our success is not just reflected in our financial results but have been shared in the feedback that we receive from clients and partners. We take pride in the relevance of OptimizeRx’s suite of solutions for the enhancement of stakeholder engagement and alignment to the patient journey both inside and outside of the electronic health record, and daily workflows of physicians and patients accessing our solutions.</w:t>
      </w:r>
    </w:p>
    <w:p>
      <w:pPr>
        <w:spacing w:after="0" w:line="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Mr. Febbo concluded, “We have been very fortunate to be an early mover and proponent of digital health communications and care management, connecting life sciences to the full care continuum. The growth and recognition that OptimizeRx has earned in the last few years has been truly remarkable and we look forward to continuing to serve patients, healthcare providers and the life sciences while delivering significant shareholder value to our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Q12021 Financial Summary</w:t>
      </w:r>
    </w:p>
    <w:p>
      <w:pPr>
        <w:spacing w:after="0" w:line="27"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b w:val="1"/>
          <w:bCs w:val="1"/>
          <w:color w:val="auto"/>
        </w:rPr>
        <w:t xml:space="preserve">Total revenue </w:t>
      </w:r>
      <w:r>
        <w:rPr>
          <w:rFonts w:ascii="Arial" w:cs="Arial" w:eastAsia="Arial" w:hAnsi="Arial"/>
          <w:sz w:val="18"/>
          <w:szCs w:val="18"/>
          <w:color w:val="auto"/>
        </w:rPr>
        <w:t>reported for the three months ended March 31, 2021 was approximately $11.2 million, an increase of 48% over the approximately $7.6</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from the same period in 2020. The increased revenue resulted from increases in sales in all our solutions.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decreased to 55% from 57% in the year-ago quarter, with the decrease related to a change in solution mix.</w:t>
      </w:r>
    </w:p>
    <w:p>
      <w:pPr>
        <w:spacing w:after="0" w:line="12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totaled $6.8 million and remained relatively flat from $6.6 million in the same year-ago quarter. The moderate increase was due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efforts to expand its solutions and build out its organization for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 w:name="page6"/>
    <w:bookmarkEnd w:id="5"/>
    <w:p>
      <w:pPr>
        <w:ind w:right="60"/>
        <w:spacing w:after="0" w:line="282"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on a GAAP basis was approximately $0.6 million or $(0.04) per basic and diluted share, as compared to a net loss of $2.2 million or $(0.15) per</w:t>
      </w:r>
      <w:r>
        <w:rPr>
          <w:rFonts w:ascii="Arial" w:cs="Arial" w:eastAsia="Arial" w:hAnsi="Arial"/>
          <w:sz w:val="18"/>
          <w:szCs w:val="18"/>
          <w:b w:val="1"/>
          <w:bCs w:val="1"/>
          <w:color w:val="auto"/>
        </w:rPr>
        <w:t xml:space="preserve"> </w:t>
      </w:r>
      <w:r>
        <w:rPr>
          <w:rFonts w:ascii="Arial" w:cs="Arial" w:eastAsia="Arial" w:hAnsi="Arial"/>
          <w:sz w:val="18"/>
          <w:szCs w:val="18"/>
          <w:color w:val="auto"/>
        </w:rPr>
        <w:t>basic and fully diluted share in the first quarter of 2020.</w:t>
      </w:r>
    </w:p>
    <w:p>
      <w:pPr>
        <w:spacing w:after="0" w:line="81"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 xml:space="preserve">Non-GAAP net income </w:t>
      </w:r>
      <w:r>
        <w:rPr>
          <w:rFonts w:ascii="Arial" w:cs="Arial" w:eastAsia="Arial" w:hAnsi="Arial"/>
          <w:sz w:val="17"/>
          <w:szCs w:val="17"/>
          <w:color w:val="auto"/>
        </w:rPr>
        <w:t>was $0.6 million or $0.04 per basic and $0.03 per fully diluted share, compared to non-GAAP net loss of $0.8 million or $(0.06)</w:t>
      </w:r>
      <w:r>
        <w:rPr>
          <w:rFonts w:ascii="Arial" w:cs="Arial" w:eastAsia="Arial" w:hAnsi="Arial"/>
          <w:sz w:val="17"/>
          <w:szCs w:val="17"/>
          <w:b w:val="1"/>
          <w:bCs w:val="1"/>
          <w:color w:val="auto"/>
        </w:rPr>
        <w:t xml:space="preserve"> </w:t>
      </w:r>
      <w:r>
        <w:rPr>
          <w:rFonts w:ascii="Arial" w:cs="Arial" w:eastAsia="Arial" w:hAnsi="Arial"/>
          <w:sz w:val="17"/>
          <w:szCs w:val="17"/>
          <w:color w:val="auto"/>
        </w:rPr>
        <w:t>per basic and fully share in the same year-ago period (see definition of this non-GAAP measure and reconciliation to GAAP, below).</w:t>
      </w:r>
    </w:p>
    <w:p>
      <w:pPr>
        <w:spacing w:after="0" w:line="5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totaled $83 million as of March 31, 2021, as compared to $10.5 million as of December 31, 2020. This was a result of an</w:t>
      </w:r>
      <w:r>
        <w:rPr>
          <w:rFonts w:ascii="Arial" w:cs="Arial" w:eastAsia="Arial" w:hAnsi="Arial"/>
          <w:sz w:val="18"/>
          <w:szCs w:val="18"/>
          <w:b w:val="1"/>
          <w:bCs w:val="1"/>
          <w:color w:val="auto"/>
        </w:rPr>
        <w:t xml:space="preserve"> </w:t>
      </w:r>
      <w:r>
        <w:rPr>
          <w:rFonts w:ascii="Arial" w:cs="Arial" w:eastAsia="Arial" w:hAnsi="Arial"/>
          <w:sz w:val="18"/>
          <w:szCs w:val="18"/>
          <w:color w:val="auto"/>
        </w:rPr>
        <w:t>equity offering in February where we raised $71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question-and-answer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Thursday, May 6,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 access: http://public.viavid.com/index.php?id=144705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1-800-496-4039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1-323-347-3281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5789519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call the conference telephone number five minutes prior to the start time.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replay of the call will remain available for 12 months via the Investors section of the OptimizeRx website at www.optimizerx.com/investors.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Use of Non-GAAP Financial Measures</w:t>
      </w:r>
    </w:p>
    <w:p>
      <w:pPr>
        <w:spacing w:after="0" w:line="2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This earnings release includes a presentation of non-GAAP net income (loss) and non-GAAP earnings (loss) per share or non-GAAP EPS, both of which are non-GAAP financial measures.</w:t>
      </w:r>
    </w:p>
    <w:p>
      <w:pPr>
        <w:spacing w:after="0" w:line="185"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color w:val="auto"/>
        </w:rPr>
        <w:t>The company defines non-GAAP net income (loss) as GAAP net income (loss) with an adjustment to add back depreciation, amortization, stock-based compensation, acquisition expenses, income or loss related to the fair value of contingent consideration, and deferred income taxes. Non-GAAP EPS is defined as non-GAAP net income (loss) divided by the number of weighted average shares outstanding on a basic and diluted basis. The company has provided non-GAAP financial measures to aid investors in better understanding its performance. Management believes that these non-GAAP financial measures provide additional insight into the operations and cashflow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6" w:name="page7"/>
    <w:bookmarkEnd w:id="6"/>
    <w:p>
      <w:pPr>
        <w:spacing w:after="0" w:line="301" w:lineRule="auto"/>
        <w:rPr>
          <w:sz w:val="20"/>
          <w:szCs w:val="20"/>
          <w:color w:val="auto"/>
        </w:rPr>
      </w:pPr>
      <w:r>
        <w:rPr>
          <w:rFonts w:ascii="Arial" w:cs="Arial" w:eastAsia="Arial" w:hAnsi="Arial"/>
          <w:sz w:val="16"/>
          <w:szCs w:val="16"/>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15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company’s non-GAAP net income (loss) and non-GAAP EPS measures may not provide information that is directly comparable to that provided by other companies in the company’s industry, as other companies in the industry may calculate such non-GAAP financial results differently. The company’s non-GAAP net income (loss) and non-GAAP EPS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16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 “Reconciliation of non-GAAP to GAAP Financial Measures,” included below, provides a reconciliation of non-GAAP net income (loss) and non-GAAP EPS for the three months ended March 31, 2021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58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press release contains forward-looking statements within the definition of Section 27A of the Securities Act of 1933, as amended, and such as in section 21E of the Securities and Exchange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March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1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82,278,696</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10,516,776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14,738,890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17,885,705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3,519,528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4,456,611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100,537,114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32,859,092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120" w:type="dxa"/>
            <w:vAlign w:val="bottom"/>
          </w:tcPr>
          <w:p>
            <w:pPr>
              <w:spacing w:after="0" w:line="201" w:lineRule="exact"/>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14,740,031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14,740,031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Technology assets,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5,049,334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5,251,822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Patent rights,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2,304,923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2,349,570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Right of use assets,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422,635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445,974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4,361,665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4,519,552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Security deposits and other assets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12,859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12,859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Total Other Assets</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26,891,447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27,319,808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127,570,680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60,327,754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8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499,279</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618,250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869,791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2,420,361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3,493,805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4,969,868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Current portion of lease obligations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119,389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123,220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Current portion of contingent purchase price payable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1,610,813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448,140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285,795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2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5,430,404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10,028,307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180"/>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305,039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325,533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180"/>
              <w:spacing w:after="0"/>
              <w:rPr>
                <w:sz w:val="20"/>
                <w:szCs w:val="20"/>
                <w:color w:val="auto"/>
              </w:rPr>
            </w:pPr>
            <w:r>
              <w:rPr>
                <w:rFonts w:ascii="Arial" w:cs="Arial" w:eastAsia="Arial" w:hAnsi="Arial"/>
                <w:sz w:val="18"/>
                <w:szCs w:val="18"/>
                <w:color w:val="auto"/>
              </w:rPr>
              <w:t>Lease obligations, net of current portion</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tcPr>
          <w:p>
            <w:pPr>
              <w:ind w:left="180"/>
              <w:spacing w:after="0"/>
              <w:rPr>
                <w:sz w:val="20"/>
                <w:szCs w:val="20"/>
                <w:color w:val="auto"/>
              </w:rPr>
            </w:pPr>
            <w:r>
              <w:rPr>
                <w:rFonts w:ascii="Arial" w:cs="Arial" w:eastAsia="Arial" w:hAnsi="Arial"/>
                <w:sz w:val="18"/>
                <w:szCs w:val="18"/>
                <w:color w:val="auto"/>
              </w:rPr>
              <w:t>Total Non-current liabilities</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305,039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120" w:type="dxa"/>
            <w:vAlign w:val="bottom"/>
          </w:tcPr>
          <w:p>
            <w:pPr>
              <w:ind w:left="180"/>
              <w:spacing w:after="0" w:line="201" w:lineRule="exact"/>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Arial" w:cs="Arial" w:eastAsia="Arial" w:hAnsi="Arial"/>
                <w:sz w:val="18"/>
                <w:szCs w:val="18"/>
                <w:color w:val="auto"/>
              </w:rPr>
              <w:t>5,735,443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line="201" w:lineRule="exact"/>
              <w:rPr>
                <w:sz w:val="20"/>
                <w:szCs w:val="20"/>
                <w:color w:val="auto"/>
              </w:rPr>
            </w:pPr>
            <w:r>
              <w:rPr>
                <w:rFonts w:ascii="Arial" w:cs="Arial" w:eastAsia="Arial" w:hAnsi="Arial"/>
                <w:sz w:val="18"/>
                <w:szCs w:val="18"/>
                <w:color w:val="auto"/>
              </w:rPr>
              <w:t>10,353,840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Commitments and contingencies (See note 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w w:val="92"/>
              </w:rPr>
              <w:t>Preferred stock, $0.001 par value, 10,000,000 shares authorized, none issued and outstanding at March 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Arial" w:cs="Arial" w:eastAsia="Arial" w:hAnsi="Arial"/>
                <w:sz w:val="18"/>
                <w:szCs w:val="18"/>
                <w:color w:val="auto"/>
              </w:rPr>
              <w:t>2021 or December 31, 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w w:val="91"/>
              </w:rPr>
              <w:t>Common stock, $0.001 par value, 166,666,667 shares authorized, 17,260,588 and 15,223,340 shares issued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Arial" w:cs="Arial" w:eastAsia="Arial" w:hAnsi="Arial"/>
                <w:sz w:val="18"/>
                <w:szCs w:val="18"/>
                <w:color w:val="auto"/>
              </w:rPr>
              <w:t>and outstanding at March 31, 2021 and December 31, 2020, respectively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17,261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158,087,090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85,590,428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(36,269,114)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(35,631,737)</w:t>
            </w:r>
          </w:p>
        </w:tc>
        <w:tc>
          <w:tcPr>
            <w:tcW w:w="0" w:type="dxa"/>
            <w:vAlign w:val="bottom"/>
          </w:tcPr>
          <w:p>
            <w:pPr>
              <w:spacing w:after="0"/>
              <w:rPr>
                <w:sz w:val="1"/>
                <w:szCs w:val="1"/>
                <w:color w:val="auto"/>
              </w:rPr>
            </w:pPr>
          </w:p>
        </w:tc>
      </w:tr>
      <w:tr>
        <w:trPr>
          <w:trHeight w:val="223"/>
        </w:trPr>
        <w:tc>
          <w:tcPr>
            <w:tcW w:w="812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121,835,237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49,973,914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127,570,680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60,327,754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7"/>
        </w:trPr>
        <w:tc>
          <w:tcPr>
            <w:tcW w:w="8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center"/>
        <w:ind w:left="8540"/>
        <w:spacing w:after="0"/>
        <w:rPr>
          <w:sz w:val="20"/>
          <w:szCs w:val="20"/>
          <w:color w:val="auto"/>
        </w:rPr>
      </w:pPr>
      <w:r>
        <w:rPr>
          <w:rFonts w:ascii="Arial" w:cs="Arial" w:eastAsia="Arial" w:hAnsi="Arial"/>
          <w:sz w:val="17"/>
          <w:szCs w:val="17"/>
          <w:color w:val="auto"/>
        </w:rPr>
        <w:t>For the Three Months</w:t>
      </w:r>
    </w:p>
    <w:p>
      <w:pPr>
        <w:spacing w:after="0" w:line="35"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5" w:lineRule="exact"/>
        <w:rPr>
          <w:sz w:val="20"/>
          <w:szCs w:val="20"/>
          <w:color w:val="auto"/>
        </w:rPr>
      </w:pPr>
    </w:p>
    <w:p>
      <w:pPr>
        <w:jc w:val="both"/>
        <w:ind w:left="9060"/>
        <w:spacing w:after="0"/>
        <w:tabs>
          <w:tab w:leader="none" w:pos="1038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14605</wp:posOffset>
            </wp:positionV>
            <wp:extent cx="15601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TOTAL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FROM OPERATIONS</w:t>
      </w:r>
    </w:p>
    <w:p>
      <w:pPr>
        <w:spacing w:after="0" w:line="225" w:lineRule="exact"/>
        <w:rPr>
          <w:sz w:val="20"/>
          <w:szCs w:val="20"/>
          <w:color w:val="auto"/>
        </w:rPr>
      </w:pPr>
    </w:p>
    <w:p>
      <w:pPr>
        <w:jc w:val="right"/>
        <w:ind w:right="6595"/>
        <w:spacing w:after="0"/>
        <w:rPr>
          <w:sz w:val="20"/>
          <w:szCs w:val="20"/>
          <w:color w:val="auto"/>
        </w:rPr>
      </w:pPr>
      <w:r>
        <w:rPr>
          <w:rFonts w:ascii="Arial" w:cs="Arial" w:eastAsia="Arial" w:hAnsi="Arial"/>
          <w:sz w:val="17"/>
          <w:szCs w:val="17"/>
          <w:color w:val="auto"/>
        </w:rPr>
        <w:t>OTHER INCOME</w:t>
      </w:r>
    </w:p>
    <w:p>
      <w:pPr>
        <w:spacing w:after="0" w:line="35" w:lineRule="exact"/>
        <w:rPr>
          <w:sz w:val="20"/>
          <w:szCs w:val="20"/>
          <w:color w:val="auto"/>
        </w:rPr>
      </w:pPr>
    </w:p>
    <w:p>
      <w:pPr>
        <w:jc w:val="right"/>
        <w:ind w:right="6635"/>
        <w:spacing w:after="0"/>
        <w:rPr>
          <w:sz w:val="20"/>
          <w:szCs w:val="20"/>
          <w:color w:val="auto"/>
        </w:rPr>
      </w:pPr>
      <w:r>
        <w:rPr>
          <w:rFonts w:ascii="Arial" w:cs="Arial" w:eastAsia="Arial" w:hAnsi="Arial"/>
          <w:sz w:val="18"/>
          <w:szCs w:val="18"/>
          <w:color w:val="auto"/>
        </w:rPr>
        <w:t>Interest Income</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OTHER INCOME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LOSS BEFORE PROVISION FOR INCOME TAXES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SHARES OUTSTANDING</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345" w:hanging="345"/>
        <w:spacing w:after="0"/>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11,229,211   $   7,584,602</w:t>
      </w:r>
    </w:p>
    <w:p>
      <w:pPr>
        <w:spacing w:after="0" w:line="23" w:lineRule="exact"/>
        <w:rPr>
          <w:rFonts w:ascii="Arial" w:cs="Arial" w:eastAsia="Arial" w:hAnsi="Arial"/>
          <w:sz w:val="18"/>
          <w:szCs w:val="18"/>
          <w:color w:val="auto"/>
        </w:rPr>
      </w:pPr>
    </w:p>
    <w:p>
      <w:pPr>
        <w:ind w:left="405"/>
        <w:spacing w:after="0"/>
        <w:rPr>
          <w:rFonts w:ascii="Arial" w:cs="Arial" w:eastAsia="Arial" w:hAnsi="Arial"/>
          <w:sz w:val="18"/>
          <w:szCs w:val="18"/>
          <w:color w:val="auto"/>
        </w:rPr>
      </w:pPr>
      <w:r>
        <w:rPr>
          <w:rFonts w:ascii="Arial" w:cs="Arial" w:eastAsia="Arial" w:hAnsi="Arial"/>
          <w:sz w:val="18"/>
          <w:szCs w:val="18"/>
          <w:color w:val="auto"/>
        </w:rPr>
        <w:t>5,104,603</w:t>
      </w:r>
      <w:r>
        <w:rPr>
          <w:rFonts w:ascii="Arial" w:cs="Arial" w:eastAsia="Arial" w:hAnsi="Arial"/>
          <w:sz w:val="16"/>
          <w:szCs w:val="16"/>
          <w:color w:val="auto"/>
        </w:rPr>
        <w:t>3,241,763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6019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1"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6,124,608</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4,342,839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6,762,916</w:t>
            </w:r>
          </w:p>
        </w:tc>
        <w:tc>
          <w:tcPr>
            <w:tcW w:w="2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6,602,091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40" w:type="dxa"/>
            <w:vAlign w:val="bottom"/>
          </w:tcPr>
          <w:p>
            <w:pPr>
              <w:spacing w:after="0"/>
              <w:rPr>
                <w:sz w:val="24"/>
                <w:szCs w:val="24"/>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(638,308)</w:t>
            </w:r>
          </w:p>
        </w:tc>
        <w:tc>
          <w:tcPr>
            <w:tcW w:w="22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(2,259,252)</w:t>
            </w:r>
          </w:p>
        </w:tc>
        <w:tc>
          <w:tcPr>
            <w:tcW w:w="0" w:type="dxa"/>
            <w:vAlign w:val="bottom"/>
          </w:tcPr>
          <w:p>
            <w:pPr>
              <w:spacing w:after="0"/>
              <w:rPr>
                <w:sz w:val="1"/>
                <w:szCs w:val="1"/>
                <w:color w:val="auto"/>
              </w:rPr>
            </w:pPr>
          </w:p>
        </w:tc>
      </w:tr>
      <w:tr>
        <w:trPr>
          <w:trHeight w:val="668"/>
        </w:trPr>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931</w:t>
            </w:r>
          </w:p>
        </w:tc>
        <w:tc>
          <w:tcPr>
            <w:tcW w:w="220" w:type="dxa"/>
            <w:vAlign w:val="bottom"/>
          </w:tcPr>
          <w:p>
            <w:pPr>
              <w:spacing w:after="0"/>
              <w:rPr>
                <w:sz w:val="24"/>
                <w:szCs w:val="24"/>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55,321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55,321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(637,377)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(2,203,931)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gridSpan w:val="3"/>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(637,377</w:t>
            </w:r>
          </w:p>
        </w:tc>
        <w:tc>
          <w:tcPr>
            <w:tcW w:w="220" w:type="dxa"/>
            <w:vAlign w:val="bottom"/>
            <w:vMerge w:val="continue"/>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(2,203,931</w:t>
            </w:r>
          </w:p>
        </w:tc>
        <w:tc>
          <w:tcPr>
            <w:tcW w:w="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7" w:lineRule="exact"/>
        <w:rPr>
          <w:sz w:val="20"/>
          <w:szCs w:val="20"/>
          <w:color w:val="auto"/>
        </w:rPr>
      </w:pPr>
    </w:p>
    <w:p>
      <w:pPr>
        <w:sectPr>
          <w:pgSz w:w="11900" w:h="16838" w:orient="portrait"/>
          <w:cols w:equalWidth="0" w:num="2">
            <w:col w:w="7955" w:space="720"/>
            <w:col w:w="2565"/>
          </w:cols>
          <w:pgMar w:left="320" w:top="580" w:right="339" w:bottom="144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86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16,101,837</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14,609,499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16,101,837</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14,609,499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(0.04)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1"/>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50"/>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(0.15</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7"/>
        </w:trPr>
        <w:tc>
          <w:tcPr>
            <w:tcW w:w="8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type w:val="continuous"/>
        </w:sectPr>
      </w:pPr>
    </w:p>
    <w:bookmarkStart w:id="10" w:name="page11"/>
    <w:bookmarkEnd w:id="10"/>
    <w:p>
      <w:pPr>
        <w:jc w:val="center"/>
        <w:ind w:left="292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292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ind w:left="29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amortization and non-cash lease expense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issued for board service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Provision for loss on accounts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 and other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 share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 and other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revenue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OPERATING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Purchase of intangible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 of equipment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FINANCING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public offering of common stock, net of offering costs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exercise of stock options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 of contingent consideration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INCREASE (DECREASE) IN CASH AND CASH EQUIVALENTS</w:t>
      </w:r>
    </w:p>
    <w:p>
      <w:pPr>
        <w:spacing w:after="0" w:line="23" w:lineRule="exact"/>
        <w:rPr>
          <w:sz w:val="20"/>
          <w:szCs w:val="20"/>
          <w:color w:val="auto"/>
        </w:rPr>
      </w:pPr>
    </w:p>
    <w:p>
      <w:pPr>
        <w:ind w:right="3480"/>
        <w:spacing w:after="0" w:line="323" w:lineRule="auto"/>
        <w:rPr>
          <w:sz w:val="20"/>
          <w:szCs w:val="20"/>
          <w:color w:val="auto"/>
        </w:rPr>
      </w:pPr>
      <w:r>
        <w:rPr>
          <w:rFonts w:ascii="Arial" w:cs="Arial" w:eastAsia="Arial" w:hAnsi="Arial"/>
          <w:sz w:val="17"/>
          <w:szCs w:val="17"/>
          <w:color w:val="auto"/>
        </w:rPr>
        <w:t>CASH AND CASH EQUIVALENTS - BEGINNING OF PERIOD CASH AND CASH EQUIVALENTS - END OF PERIOD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interest</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income taxes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Lease liabilities arising from right 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5"/>
        <w:spacing w:after="0"/>
        <w:rPr>
          <w:sz w:val="20"/>
          <w:szCs w:val="20"/>
          <w:color w:val="auto"/>
        </w:rPr>
      </w:pPr>
      <w:r>
        <w:rPr>
          <w:rFonts w:ascii="Arial" w:cs="Arial" w:eastAsia="Arial" w:hAnsi="Arial"/>
          <w:sz w:val="18"/>
          <w:szCs w:val="18"/>
          <w:color w:val="auto"/>
        </w:rPr>
        <w:t>For the Three Months</w:t>
      </w:r>
    </w:p>
    <w:p>
      <w:pPr>
        <w:spacing w:after="0" w:line="23" w:lineRule="exact"/>
        <w:rPr>
          <w:sz w:val="20"/>
          <w:szCs w:val="20"/>
          <w:color w:val="auto"/>
        </w:rPr>
      </w:pPr>
    </w:p>
    <w:p>
      <w:pPr>
        <w:ind w:left="605"/>
        <w:spacing w:after="0"/>
        <w:rPr>
          <w:sz w:val="20"/>
          <w:szCs w:val="20"/>
          <w:color w:val="auto"/>
        </w:rPr>
      </w:pPr>
      <w:r>
        <w:rPr>
          <w:rFonts w:ascii="Arial" w:cs="Arial" w:eastAsia="Arial" w:hAnsi="Arial"/>
          <w:sz w:val="18"/>
          <w:szCs w:val="18"/>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5513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305" cy="17145"/>
                    </a:xfrm>
                    <a:prstGeom prst="rect">
                      <a:avLst/>
                    </a:prstGeom>
                    <a:noFill/>
                  </pic:spPr>
                </pic:pic>
              </a:graphicData>
            </a:graphic>
          </wp:anchor>
        </w:drawing>
      </w:r>
    </w:p>
    <w:p>
      <w:pPr>
        <w:spacing w:after="0" w:line="15" w:lineRule="exact"/>
        <w:rPr>
          <w:sz w:val="20"/>
          <w:szCs w:val="20"/>
          <w:color w:val="auto"/>
        </w:rPr>
      </w:pPr>
    </w:p>
    <w:p>
      <w:pPr>
        <w:ind w:left="385"/>
        <w:spacing w:after="0"/>
        <w:tabs>
          <w:tab w:leader="none" w:pos="1685"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513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51305" cy="17145"/>
                    </a:xfrm>
                    <a:prstGeom prst="rect">
                      <a:avLst/>
                    </a:prstGeom>
                    <a:noFill/>
                  </pic:spPr>
                </pic:pic>
              </a:graphicData>
            </a:graphic>
          </wp:anchor>
        </w:drawing>
      </w:r>
    </w:p>
    <w:p>
      <w:pPr>
        <w:spacing w:after="0" w:line="232" w:lineRule="exact"/>
        <w:rPr>
          <w:sz w:val="20"/>
          <w:szCs w:val="20"/>
          <w:color w:val="auto"/>
        </w:rPr>
      </w:pPr>
    </w:p>
    <w:p>
      <w:pPr>
        <w:ind w:left="485" w:hanging="485"/>
        <w:spacing w:after="0"/>
        <w:tabs>
          <w:tab w:leader="none" w:pos="485" w:val="left"/>
        </w:tabs>
        <w:numPr>
          <w:ilvl w:val="0"/>
          <w:numId w:val="6"/>
        </w:numPr>
        <w:rPr>
          <w:rFonts w:ascii="Arial" w:cs="Arial" w:eastAsia="Arial" w:hAnsi="Arial"/>
          <w:sz w:val="18"/>
          <w:szCs w:val="18"/>
          <w:color w:val="auto"/>
        </w:rPr>
      </w:pPr>
      <w:r>
        <w:rPr>
          <w:rFonts w:ascii="Arial" w:cs="Arial" w:eastAsia="Arial" w:hAnsi="Arial"/>
          <w:sz w:val="18"/>
          <w:szCs w:val="18"/>
          <w:color w:val="auto"/>
        </w:rPr>
        <w:t>(637,377)  $   (2,203,931)</w:t>
      </w:r>
    </w:p>
    <w:p>
      <w:pPr>
        <w:spacing w:after="0" w:line="225"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526,180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519,669</w:t>
            </w:r>
          </w:p>
        </w:tc>
        <w:tc>
          <w:tcPr>
            <w:tcW w:w="1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582,159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754,512</w:t>
            </w:r>
          </w:p>
        </w:tc>
        <w:tc>
          <w:tcPr>
            <w:tcW w:w="1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124,994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3,126,815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(1,643,495))</w:t>
            </w: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937,083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1"/>
              <w:spacing w:after="0"/>
              <w:rPr>
                <w:sz w:val="20"/>
                <w:szCs w:val="20"/>
                <w:color w:val="auto"/>
              </w:rPr>
            </w:pPr>
            <w:r>
              <w:rPr>
                <w:rFonts w:ascii="Arial" w:cs="Arial" w:eastAsia="Arial" w:hAnsi="Arial"/>
                <w:sz w:val="18"/>
                <w:szCs w:val="18"/>
                <w:color w:val="auto"/>
              </w:rPr>
              <w:t>(2,099,448)</w:t>
            </w: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(118,971)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55,105</w:t>
            </w:r>
          </w:p>
        </w:tc>
        <w:tc>
          <w:tcPr>
            <w:tcW w:w="1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(1,476,063)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1"/>
              <w:spacing w:after="0"/>
              <w:rPr>
                <w:sz w:val="20"/>
                <w:szCs w:val="20"/>
                <w:color w:val="auto"/>
              </w:rPr>
            </w:pPr>
            <w:r>
              <w:rPr>
                <w:rFonts w:ascii="Arial" w:cs="Arial" w:eastAsia="Arial" w:hAnsi="Arial"/>
                <w:sz w:val="18"/>
                <w:szCs w:val="18"/>
                <w:color w:val="auto"/>
              </w:rPr>
              <w:t>1,021,811)</w:t>
            </w: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(1,581,415)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1"/>
              <w:spacing w:after="0"/>
              <w:rPr>
                <w:sz w:val="20"/>
                <w:szCs w:val="20"/>
                <w:color w:val="auto"/>
              </w:rPr>
            </w:pPr>
            <w:r>
              <w:rPr>
                <w:rFonts w:ascii="Arial" w:cs="Arial" w:eastAsia="Arial" w:hAnsi="Arial"/>
                <w:sz w:val="18"/>
                <w:szCs w:val="18"/>
                <w:color w:val="auto"/>
              </w:rPr>
              <w:t>(154,473)</w:t>
            </w:r>
          </w:p>
        </w:tc>
      </w:tr>
      <w:tr>
        <w:trPr>
          <w:trHeight w:val="251"/>
        </w:trPr>
        <w:tc>
          <w:tcPr>
            <w:tcW w:w="20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162,345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21"/>
              <w:spacing w:after="0"/>
              <w:rPr>
                <w:sz w:val="20"/>
                <w:szCs w:val="20"/>
                <w:color w:val="auto"/>
              </w:rPr>
            </w:pPr>
            <w:r>
              <w:rPr>
                <w:rFonts w:ascii="Arial" w:cs="Arial" w:eastAsia="Arial" w:hAnsi="Arial"/>
                <w:sz w:val="18"/>
                <w:szCs w:val="18"/>
                <w:color w:val="auto"/>
              </w:rPr>
              <w:t>(88,576)</w:t>
            </w: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1,665,750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(3,738,826</w:t>
            </w:r>
          </w:p>
        </w:tc>
        <w:tc>
          <w:tcPr>
            <w:tcW w:w="20" w:type="dxa"/>
            <w:vAlign w:val="bottom"/>
            <w:tcBorders>
              <w:top w:val="single" w:sz="8" w:color="auto"/>
            </w:tcBorders>
          </w:tcPr>
          <w:p>
            <w:pPr>
              <w:spacing w:after="0"/>
              <w:rPr>
                <w:sz w:val="19"/>
                <w:szCs w:val="19"/>
                <w:color w:val="auto"/>
              </w:rPr>
            </w:pP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r>
      <w:tr>
        <w:trPr>
          <w:trHeight w:val="634"/>
        </w:trPr>
        <w:tc>
          <w:tcPr>
            <w:tcW w:w="20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(64,693)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1"/>
        </w:trPr>
        <w:tc>
          <w:tcPr>
            <w:tcW w:w="2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(19,871)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3"/>
          </w:tcPr>
          <w:p>
            <w:pPr>
              <w:jc w:val="right"/>
              <w:ind w:right="21"/>
              <w:spacing w:after="0"/>
              <w:rPr>
                <w:sz w:val="20"/>
                <w:szCs w:val="20"/>
                <w:color w:val="auto"/>
              </w:rPr>
            </w:pPr>
            <w:r>
              <w:rPr>
                <w:rFonts w:ascii="Arial" w:cs="Arial" w:eastAsia="Arial" w:hAnsi="Arial"/>
                <w:sz w:val="18"/>
                <w:szCs w:val="18"/>
                <w:color w:val="auto"/>
              </w:rPr>
              <w:t>(15,937)</w:t>
            </w: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(84,564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(15,937</w:t>
            </w:r>
          </w:p>
        </w:tc>
        <w:tc>
          <w:tcPr>
            <w:tcW w:w="20" w:type="dxa"/>
            <w:vAlign w:val="bottom"/>
            <w:tcBorders>
              <w:top w:val="single" w:sz="8" w:color="auto"/>
            </w:tcBorders>
          </w:tcPr>
          <w:p>
            <w:pPr>
              <w:spacing w:after="0"/>
              <w:rPr>
                <w:sz w:val="19"/>
                <w:szCs w:val="19"/>
                <w:color w:val="auto"/>
              </w:rPr>
            </w:pP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r>
      <w:tr>
        <w:trPr>
          <w:trHeight w:val="634"/>
        </w:trPr>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70,671,536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1,120,011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112,152</w:t>
            </w:r>
          </w:p>
        </w:tc>
        <w:tc>
          <w:tcPr>
            <w:tcW w:w="100" w:type="dxa"/>
            <w:vAlign w:val="bottom"/>
          </w:tcPr>
          <w:p>
            <w:pPr>
              <w:spacing w:after="0"/>
              <w:rPr>
                <w:sz w:val="18"/>
                <w:szCs w:val="18"/>
                <w:color w:val="auto"/>
              </w:rPr>
            </w:pPr>
          </w:p>
        </w:tc>
      </w:tr>
      <w:tr>
        <w:trPr>
          <w:trHeight w:val="251"/>
        </w:trPr>
        <w:tc>
          <w:tcPr>
            <w:tcW w:w="2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(1,610,813)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70,180,734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112,152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71,761,920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(3,642,611)</w:t>
            </w:r>
          </w:p>
        </w:tc>
        <w:tc>
          <w:tcPr>
            <w:tcW w:w="100" w:type="dxa"/>
            <w:vAlign w:val="bottom"/>
          </w:tcPr>
          <w:p>
            <w:pPr>
              <w:spacing w:after="0"/>
              <w:rPr>
                <w:sz w:val="18"/>
                <w:szCs w:val="18"/>
                <w:color w:val="auto"/>
              </w:rPr>
            </w:pPr>
          </w:p>
        </w:tc>
      </w:tr>
      <w:tr>
        <w:trPr>
          <w:trHeight w:val="237"/>
        </w:trPr>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10,516,776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18,852,680</w:t>
            </w:r>
          </w:p>
        </w:tc>
        <w:tc>
          <w:tcPr>
            <w:tcW w:w="100" w:type="dxa"/>
            <w:vAlign w:val="bottom"/>
          </w:tcPr>
          <w:p>
            <w:pPr>
              <w:spacing w:after="0"/>
              <w:rPr>
                <w:sz w:val="20"/>
                <w:szCs w:val="20"/>
                <w:color w:val="auto"/>
              </w:rPr>
            </w:pPr>
          </w:p>
        </w:tc>
      </w:tr>
      <w:tr>
        <w:trPr>
          <w:trHeight w:val="250"/>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82,278,696</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15,210,069</w:t>
            </w:r>
          </w:p>
        </w:tc>
        <w:tc>
          <w:tcPr>
            <w:tcW w:w="100" w:type="dxa"/>
            <w:vAlign w:val="bottom"/>
          </w:tcPr>
          <w:p>
            <w:pPr>
              <w:spacing w:after="0"/>
              <w:rPr>
                <w:sz w:val="21"/>
                <w:szCs w:val="2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5"/>
        </w:trPr>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2">
            <w:col w:w="8320" w:space="355"/>
            <w:col w:w="2565"/>
          </w:cols>
          <w:pgMar w:left="320" w:top="101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RECONCIALIATION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7"/>
          </w:tcPr>
          <w:p>
            <w:pPr>
              <w:jc w:val="right"/>
              <w:ind w:right="514"/>
              <w:spacing w:after="0"/>
              <w:rPr>
                <w:sz w:val="20"/>
                <w:szCs w:val="20"/>
                <w:color w:val="auto"/>
              </w:rPr>
            </w:pPr>
            <w:r>
              <w:rPr>
                <w:rFonts w:ascii="Arial" w:cs="Arial" w:eastAsia="Arial" w:hAnsi="Arial"/>
                <w:sz w:val="18"/>
                <w:szCs w:val="18"/>
                <w:b w:val="1"/>
                <w:bCs w:val="1"/>
                <w:color w:val="auto"/>
                <w:w w:val="98"/>
              </w:rPr>
              <w:t>For the Three Months</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7"/>
          </w:tcPr>
          <w:p>
            <w:pPr>
              <w:jc w:val="right"/>
              <w:ind w:right="674"/>
              <w:spacing w:after="0"/>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Net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(637,377)</w:t>
            </w:r>
          </w:p>
        </w:tc>
        <w:tc>
          <w:tcPr>
            <w:tcW w:w="22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w w:val="97"/>
              </w:rPr>
              <w:t>(2,203,931)</w:t>
            </w: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526,180</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519,669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707,153</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854,512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Non-GAAP net income (loss)</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80" w:type="dxa"/>
            <w:vAlign w:val="bottom"/>
            <w:gridSpan w:val="2"/>
            <w:vMerge w:val="restart"/>
          </w:tcPr>
          <w:p>
            <w:pPr>
              <w:jc w:val="right"/>
              <w:ind w:right="34"/>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595,956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(829,750</w:t>
            </w:r>
          </w:p>
        </w:tc>
        <w:tc>
          <w:tcPr>
            <w:tcW w:w="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Non-GAAP net income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680" w:type="dxa"/>
            <w:vAlign w:val="bottom"/>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4"/>
          </w:tcPr>
          <w:p>
            <w:pPr>
              <w:jc w:val="right"/>
              <w:ind w:right="34"/>
              <w:spacing w:after="0" w:line="271" w:lineRule="exact"/>
              <w:rPr>
                <w:sz w:val="20"/>
                <w:szCs w:val="20"/>
                <w:color w:val="auto"/>
              </w:rPr>
            </w:pPr>
            <w:r>
              <w:rPr>
                <w:rFonts w:ascii="Arial" w:cs="Arial" w:eastAsia="Arial" w:hAnsi="Arial"/>
                <w:sz w:val="17"/>
                <w:szCs w:val="17"/>
                <w:color w:val="auto"/>
              </w:rPr>
              <w:t>(0.06</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vMerge w:val="restart"/>
          </w:tcPr>
          <w:p>
            <w:pPr>
              <w:jc w:val="right"/>
              <w:ind w:right="34"/>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8680" w:type="dxa"/>
            <w:vAlign w:val="bottom"/>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16,101,837</w:t>
            </w:r>
          </w:p>
        </w:tc>
        <w:tc>
          <w:tcPr>
            <w:tcW w:w="200" w:type="dxa"/>
            <w:vAlign w:val="bottom"/>
          </w:tcPr>
          <w:p>
            <w:pPr>
              <w:spacing w:after="0"/>
              <w:rPr>
                <w:sz w:val="24"/>
                <w:szCs w:val="24"/>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w w:val="99"/>
              </w:rPr>
              <w:t>14,609,499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17,085,582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14,609,499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7"/>
        </w:trPr>
        <w:tc>
          <w:tcPr>
            <w:tcW w:w="8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2021-05-07T12:45:22Z</dcterms:created>
  <dcterms:modified xsi:type="dcterms:W3CDTF">2021-05-07T12:45:22Z</dcterms:modified>
</cp:coreProperties>
</file>