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November 12,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540" w:type="dxa"/>
            <w:vAlign w:val="bottom"/>
            <w:gridSpan w:val="3"/>
          </w:tcPr>
          <w:p>
            <w:pPr>
              <w:jc w:val="center"/>
              <w:ind w:right="860"/>
              <w:spacing w:after="0"/>
              <w:rPr>
                <w:sz w:val="20"/>
                <w:szCs w:val="20"/>
                <w:color w:val="auto"/>
              </w:rPr>
            </w:pPr>
            <w:r>
              <w:rPr>
                <w:rFonts w:ascii="Arial" w:cs="Arial" w:eastAsia="Arial" w:hAnsi="Arial"/>
                <w:sz w:val="18"/>
                <w:szCs w:val="18"/>
                <w:color w:val="auto"/>
                <w:w w:val="90"/>
              </w:rPr>
              <w:t>Nevada</w:t>
            </w:r>
          </w:p>
        </w:tc>
        <w:tc>
          <w:tcPr>
            <w:tcW w:w="3020" w:type="dxa"/>
            <w:vAlign w:val="bottom"/>
            <w:gridSpan w:val="3"/>
          </w:tcPr>
          <w:p>
            <w:pPr>
              <w:jc w:val="right"/>
              <w:ind w:right="1440"/>
              <w:spacing w:after="0"/>
              <w:rPr>
                <w:sz w:val="20"/>
                <w:szCs w:val="20"/>
                <w:color w:val="auto"/>
              </w:rPr>
            </w:pPr>
            <w:r>
              <w:rPr>
                <w:rFonts w:ascii="Arial" w:cs="Arial" w:eastAsia="Arial" w:hAnsi="Arial"/>
                <w:sz w:val="18"/>
                <w:szCs w:val="18"/>
                <w:color w:val="auto"/>
              </w:rPr>
              <w:t>000-53605</w:t>
            </w: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26-1265381</w:t>
            </w:r>
          </w:p>
        </w:tc>
      </w:tr>
      <w:tr>
        <w:trPr>
          <w:trHeight w:val="202"/>
        </w:trPr>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(State or other jurisdiction</w:t>
            </w:r>
          </w:p>
        </w:tc>
        <w:tc>
          <w:tcPr>
            <w:tcW w:w="2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640"/>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540" w:type="dxa"/>
            <w:vAlign w:val="bottom"/>
            <w:gridSpan w:val="3"/>
          </w:tcPr>
          <w:p>
            <w:pPr>
              <w:jc w:val="center"/>
              <w:ind w:right="860"/>
              <w:spacing w:after="0"/>
              <w:rPr>
                <w:sz w:val="20"/>
                <w:szCs w:val="20"/>
                <w:color w:val="auto"/>
              </w:rPr>
            </w:pPr>
            <w:r>
              <w:rPr>
                <w:rFonts w:ascii="Arial" w:cs="Arial" w:eastAsia="Arial" w:hAnsi="Arial"/>
                <w:sz w:val="18"/>
                <w:szCs w:val="18"/>
                <w:color w:val="auto"/>
                <w:w w:val="95"/>
              </w:rPr>
              <w:t>of incorporation)</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9"/>
        </w:trPr>
        <w:tc>
          <w:tcPr>
            <w:tcW w:w="454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color w:val="auto"/>
                <w:w w:val="90"/>
              </w:rPr>
              <w:t>400 Water Street, Suite 200, Rochester, MI</w:t>
            </w:r>
          </w:p>
        </w:tc>
        <w:tc>
          <w:tcPr>
            <w:tcW w:w="10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454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ind w:right="187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289560</wp:posOffset>
            </wp:positionV>
            <wp:extent cx="36277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November 12, 2015, we issued a press release announcing the results of operations for the quarter ended September 30, 2015.</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press release is furnished with this Current Report on Form 8-K as Exhibit 99.1. 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26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99.1</w:t>
            </w:r>
          </w:p>
        </w:tc>
        <w:tc>
          <w:tcPr>
            <w:tcW w:w="120" w:type="dxa"/>
            <w:vAlign w:val="bottom"/>
            <w:tcBorders>
              <w:top w:val="single" w:sz="8" w:color="CCEEFF"/>
            </w:tcBorders>
            <w:shd w:val="clear" w:color="auto" w:fill="CCEEFF"/>
          </w:tcPr>
          <w:p>
            <w:pPr>
              <w:spacing w:after="0"/>
              <w:rPr>
                <w:sz w:val="18"/>
                <w:szCs w:val="18"/>
                <w:color w:val="auto"/>
              </w:rPr>
            </w:pPr>
          </w:p>
        </w:tc>
        <w:tc>
          <w:tcPr>
            <w:tcW w:w="10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Press release, dated November 12, 2015</w:t>
            </w: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28987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2015</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90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165735</wp:posOffset>
            </wp:positionV>
            <wp:extent cx="2573020" cy="557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7302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OptimizeRx Corporation Reports Record Third Quarter 2015 Results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Strategic Investment by WPP and Expanded Partnership with Allscripts Supports Continued Growth and Profitability into 2016</w:t>
      </w:r>
    </w:p>
    <w:p>
      <w:pPr>
        <w:spacing w:after="0" w:line="221" w:lineRule="exact"/>
        <w:rPr>
          <w:sz w:val="20"/>
          <w:szCs w:val="20"/>
          <w:color w:val="auto"/>
        </w:rPr>
      </w:pPr>
    </w:p>
    <w:p>
      <w:pPr>
        <w:ind w:right="320"/>
        <w:spacing w:after="0" w:line="313" w:lineRule="auto"/>
        <w:rPr>
          <w:sz w:val="20"/>
          <w:szCs w:val="20"/>
          <w:color w:val="auto"/>
        </w:rPr>
      </w:pPr>
      <w:r>
        <w:rPr>
          <w:rFonts w:ascii="Arial" w:cs="Arial" w:eastAsia="Arial" w:hAnsi="Arial"/>
          <w:sz w:val="17"/>
          <w:szCs w:val="17"/>
          <w:b w:val="1"/>
          <w:bCs w:val="1"/>
          <w:color w:val="auto"/>
        </w:rPr>
        <w:t xml:space="preserve">ROCHESTER, MI – November 12, 2015 – </w:t>
      </w:r>
      <w:r>
        <w:rPr>
          <w:rFonts w:ascii="Arial" w:cs="Arial" w:eastAsia="Arial" w:hAnsi="Arial"/>
          <w:sz w:val="17"/>
          <w:szCs w:val="17"/>
          <w:color w:val="auto"/>
        </w:rPr>
        <w:t>OptimizeRx Corp. (OTCQB: OPRX), a software company whose premier content-delivery platform enables</w:t>
      </w:r>
      <w:r>
        <w:rPr>
          <w:rFonts w:ascii="Arial" w:cs="Arial" w:eastAsia="Arial" w:hAnsi="Arial"/>
          <w:sz w:val="17"/>
          <w:szCs w:val="17"/>
          <w:b w:val="1"/>
          <w:bCs w:val="1"/>
          <w:color w:val="auto"/>
        </w:rPr>
        <w:t xml:space="preserve"> </w:t>
      </w:r>
      <w:r>
        <w:rPr>
          <w:rFonts w:ascii="Arial" w:cs="Arial" w:eastAsia="Arial" w:hAnsi="Arial"/>
          <w:sz w:val="17"/>
          <w:szCs w:val="17"/>
          <w:color w:val="auto"/>
        </w:rPr>
        <w:t>pharmaceutical companies to provide on-demand patient-care services, reported results for the third quarter ended September 30, 2015.</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 2015 Highlights</w:t>
      </w:r>
    </w:p>
    <w:p>
      <w:pPr>
        <w:spacing w:after="0" w:line="2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 quarterly net revenue of $2.0 million, up 10% vs. year-ago quarter.</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Achieved profitability, with net income of $88,000, as opposed to a loss of $295,000 in the year-ago quarter</w:t>
      </w:r>
    </w:p>
    <w:p>
      <w:pPr>
        <w:spacing w:after="0" w:line="225"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WPP, the largest marketing services company in the world, acquired a minority interest in OptimizeRx for $4.7 million. WPP will assist OptimizeRx in acquiring more brands by leveraging its expansive network of pharmaceutical clients it provides marketing services to. In addition, WPP and OptimizeRx will co-develop new platforms to deliver vital information to physicians and patients, and help expand the electronic health record (EHR) network.</w:t>
      </w:r>
    </w:p>
    <w:p>
      <w:pPr>
        <w:spacing w:after="0" w:line="186"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Expanded exclusive partnership with Allscripts Healthcare Solutions, a global leader in healthcare information technology solutions, to automate voucher and copay savings support within its Touchworks® EHR platform.</w:t>
      </w:r>
    </w:p>
    <w:p>
      <w:pPr>
        <w:spacing w:after="0" w:line="170" w:lineRule="exact"/>
        <w:rPr>
          <w:rFonts w:ascii="Arial" w:cs="Arial" w:eastAsia="Arial" w:hAnsi="Arial"/>
          <w:sz w:val="18"/>
          <w:szCs w:val="18"/>
          <w:color w:val="auto"/>
        </w:rPr>
      </w:pPr>
    </w:p>
    <w:p>
      <w:pPr>
        <w:ind w:left="660" w:right="580" w:hanging="328"/>
        <w:spacing w:after="0" w:line="30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Grey Healthcare Group, a subsidiary of WPP, CEO Lynn Vos joined OptimizeRx’s board as a director and is leading the relationship between OptimizeRx and WPP, the largest marketing services company in the world with 3,000 offices and 170,000 associates.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 2015 Financial Summary</w:t>
      </w:r>
    </w:p>
    <w:p>
      <w:pPr>
        <w:spacing w:after="0" w:line="2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Net revenue in the third quarter of 2015 increased 10% to a record $2.0 million from $1.8 million in the same year-ago quarter. The increase was due to both increased promotion of pharmaceutical brands and expanded distribution channels.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were $0.9 million in the third quarter of 2015, as compared to $1.2 million in the same year-ago quarter.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Net income was $88,000, as compared to a loss of $295,000 in the same year-ago quarter.</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Cash and cash equivalents totaled $8.2 million as of September 30, 2015, as compared to $3.4 million as of December 31, 2014, and the company continues to operate debt-free. The increase in cash and equivalents was primarily due to the strategic investment of $4.7 million by WPP, and the company also generated positive cash flow from operations of approximately $0.5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Nine Months 2015 Financial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revenue in the first nine months of 2015 increased 15% to a record $5.2 million from $4.5 million in the same year-ago period.</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Operating expenses decreased to $2.7 million as compared to $3.5 million in the same year-ago period. The decrease was primarily due to a $400,000 legal settlement that occurred in the year-ago period, as well as the reduction in stock-based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loss totaled $180,000 or $(0.01) per share, as compared to a loss of $1.3 million or $(0.05) per basic share in the same year-ago period.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2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“During the third quarter, we achieved record revenue and attained profitability through continued progress in both segments of our business,” said David Harrell, CEO of OptimizeRx. “This included adding new brands to our channel and expanding agreements with pharmaceutical companies who are looking for new ways to market their products and reach doctors and patients at ‘point-of-prescribe.’</w:t>
      </w:r>
    </w:p>
    <w:p>
      <w:pPr>
        <w:spacing w:after="0" w:line="1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expanded our networks with Allscripts to work with us exclusively to manage their patient savings across all of their EHR platforms, including their largest platform, Touchworks, which will be integrated in 2016,” continued Harrell. “With Allscripts, we now are the exclusive delivery platform for more than 200 EHRs, with this exclusivity representing about two thirds of our network. This will insure our leadership as innovators in the space and provide key competitive barriers to entry.</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“OptimizeRx has now created the largest network of its kind, with promotional programs incorporated into more than 350 leading EHRs and engaging more healthcare providers at ‘point-of-prescribe’ than any other network. This broad market reach and exclusivity provides a substantial competitive barrier to entry.</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anticipate our deeper relationship with GHG/WPP and their investment to help expand our point-of-care EHR promotional network and service offerings, increase the number of participating brands, as well as enhance our management and infrastructure. Through this relationship, we now have access to virtually every pharmaceutical company in the world. As announced today, we appointed David Smith as VP of Client Services to leverage this relationship and focus on monetization strategies. In all, we see this key partnership supporting our continued growth and profitability in the current quarter and beyond.”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OptimizeRX will host a conference call today to discuss the third quarter of 2015, followed by a question and answer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Thursday, November 12,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4:30 p.m. Eastern time (2:30 p.m. Mountain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 (888) 539-3612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 dial-in number: +1 (719) 457-2664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568874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replay of the call will be available through December 3,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Replay number: +1 (719) 457-0820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Replay ID: 568874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file its quarterly report on Form 10Q today.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 Corp</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10253F"/>
        </w:rPr>
        <w:t>OptimizeRx Corporation (OTCQB: OPRX) provides unique consumer and physician platforms to help patients better afford and comply with their medicines and healthcare products, while offering pharmaceutical and healthcare companies effective ways to expand awareness, access and adherence to their medications.</w:t>
      </w:r>
    </w:p>
    <w:p>
      <w:pPr>
        <w:spacing w:after="0" w:line="19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10253F"/>
        </w:rPr>
        <w:t>Our core product, SampleMD, replaces drug samples with electronic trial vouchers and copay coupon savings that are electronically added to an e-Prescription and sent electronically to the pharmacy and is integrated within leading Electronic Health Record (EHR) platforms in the country, including Allscripts, Quest Diagnostics, Practice Fusion and over 350 other EHRs to reach over 250,000 healthcare providers. In turn, we promote patient savings and support from the world’s largest pharmaceutical companies, including Pfizer, Lilly, Novartis, AstraZeneca and many others. For more information, please go to www.optimizerxcorp.com.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6" w:name="page7"/>
    <w:bookmarkEnd w:id="6"/>
    <w:p>
      <w:pPr>
        <w:ind w:left="44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tcPr>
          <w:p>
            <w:pPr>
              <w:ind w:left="3440"/>
              <w:spacing w:after="0"/>
              <w:rPr>
                <w:sz w:val="20"/>
                <w:szCs w:val="20"/>
                <w:color w:val="auto"/>
              </w:rPr>
            </w:pPr>
            <w:r>
              <w:rPr>
                <w:rFonts w:ascii="Arial" w:cs="Arial" w:eastAsia="Arial" w:hAnsi="Arial"/>
                <w:sz w:val="18"/>
                <w:szCs w:val="18"/>
                <w:b w:val="1"/>
                <w:bCs w:val="1"/>
                <w:color w:val="auto"/>
              </w:rPr>
              <w:t>AS OF SEPTEMBER 30, 2015 AND DECEMBER 31, 2014</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8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September 30,</w:t>
            </w:r>
          </w:p>
        </w:tc>
        <w:tc>
          <w:tcPr>
            <w:tcW w:w="80" w:type="dxa"/>
            <w:vAlign w:val="bottom"/>
          </w:tcPr>
          <w:p>
            <w:pPr>
              <w:spacing w:after="0"/>
              <w:rPr>
                <w:sz w:val="24"/>
                <w:szCs w:val="24"/>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8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480" w:type="dxa"/>
            <w:vAlign w:val="bottom"/>
          </w:tcPr>
          <w:p>
            <w:pPr>
              <w:ind w:left="4100"/>
              <w:spacing w:after="0" w:line="201" w:lineRule="exact"/>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8,174,409</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3,446,973</w:t>
            </w: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2,740,104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2,100,381</w:t>
            </w:r>
          </w:p>
        </w:tc>
        <w:tc>
          <w:tcPr>
            <w:tcW w:w="0" w:type="dxa"/>
            <w:vAlign w:val="bottom"/>
          </w:tcPr>
          <w:p>
            <w:pPr>
              <w:spacing w:after="0"/>
              <w:rPr>
                <w:sz w:val="1"/>
                <w:szCs w:val="1"/>
                <w:color w:val="auto"/>
              </w:rPr>
            </w:pPr>
          </w:p>
        </w:tc>
      </w:tr>
      <w:tr>
        <w:trPr>
          <w:trHeight w:val="25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86,796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28,093</w:t>
            </w:r>
          </w:p>
        </w:tc>
        <w:tc>
          <w:tcPr>
            <w:tcW w:w="0" w:type="dxa"/>
            <w:vAlign w:val="bottom"/>
          </w:tcPr>
          <w:p>
            <w:pPr>
              <w:spacing w:after="0"/>
              <w:rPr>
                <w:sz w:val="1"/>
                <w:szCs w:val="1"/>
                <w:color w:val="auto"/>
              </w:rPr>
            </w:pPr>
          </w:p>
        </w:tc>
      </w:tr>
      <w:tr>
        <w:trPr>
          <w:trHeight w:val="210"/>
        </w:trPr>
        <w:tc>
          <w:tcPr>
            <w:tcW w:w="84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11,001,309</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5,575,447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10,104</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480" w:type="dxa"/>
            <w:vAlign w:val="bottom"/>
          </w:tcPr>
          <w:p>
            <w:pPr>
              <w:spacing w:after="0" w:line="203" w:lineRule="exact"/>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Patent rights, net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889,184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930,854</w:t>
            </w: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Web development costs, net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414,066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504,643</w:t>
            </w:r>
          </w:p>
        </w:tc>
        <w:tc>
          <w:tcPr>
            <w:tcW w:w="0" w:type="dxa"/>
            <w:vAlign w:val="bottom"/>
          </w:tcPr>
          <w:p>
            <w:pPr>
              <w:spacing w:after="0"/>
              <w:rPr>
                <w:sz w:val="1"/>
                <w:szCs w:val="1"/>
                <w:color w:val="auto"/>
              </w:rPr>
            </w:pPr>
          </w:p>
        </w:tc>
      </w:tr>
      <w:tr>
        <w:trPr>
          <w:trHeight w:val="25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Security deposit</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5,049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10"/>
        </w:trPr>
        <w:tc>
          <w:tcPr>
            <w:tcW w:w="84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Assets</w:t>
            </w:r>
          </w:p>
        </w:tc>
        <w:tc>
          <w:tcPr>
            <w:tcW w:w="3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1,308,299</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1,440,546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12,319,712</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7,028,806</w:t>
            </w:r>
          </w:p>
        </w:tc>
        <w:tc>
          <w:tcPr>
            <w:tcW w:w="0" w:type="dxa"/>
            <w:vAlign w:val="bottom"/>
          </w:tcPr>
          <w:p>
            <w:pPr>
              <w:spacing w:after="0"/>
              <w:rPr>
                <w:sz w:val="1"/>
                <w:szCs w:val="1"/>
                <w:color w:val="auto"/>
              </w:rPr>
            </w:pPr>
          </w:p>
        </w:tc>
      </w:tr>
      <w:tr>
        <w:trPr>
          <w:trHeight w:val="21"/>
        </w:trPr>
        <w:tc>
          <w:tcPr>
            <w:tcW w:w="8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248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 trade</w:t>
            </w:r>
          </w:p>
        </w:tc>
        <w:tc>
          <w:tcPr>
            <w:tcW w:w="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174,924</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200,372</w:t>
            </w: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Accounts payable - related party</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570,000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570,000</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25,459</w:t>
            </w: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1,996,969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1,502,761</w:t>
            </w:r>
          </w:p>
        </w:tc>
        <w:tc>
          <w:tcPr>
            <w:tcW w:w="0" w:type="dxa"/>
            <w:vAlign w:val="bottom"/>
          </w:tcPr>
          <w:p>
            <w:pPr>
              <w:spacing w:after="0"/>
              <w:rPr>
                <w:sz w:val="1"/>
                <w:szCs w:val="1"/>
                <w:color w:val="auto"/>
              </w:rPr>
            </w:pPr>
          </w:p>
        </w:tc>
      </w:tr>
      <w:tr>
        <w:trPr>
          <w:trHeight w:val="25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293,112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120,130</w:t>
            </w:r>
          </w:p>
        </w:tc>
        <w:tc>
          <w:tcPr>
            <w:tcW w:w="0" w:type="dxa"/>
            <w:vAlign w:val="bottom"/>
          </w:tcPr>
          <w:p>
            <w:pPr>
              <w:spacing w:after="0"/>
              <w:rPr>
                <w:sz w:val="1"/>
                <w:szCs w:val="1"/>
                <w:color w:val="auto"/>
              </w:rPr>
            </w:pPr>
          </w:p>
        </w:tc>
      </w:tr>
      <w:tr>
        <w:trPr>
          <w:trHeight w:val="210"/>
        </w:trPr>
        <w:tc>
          <w:tcPr>
            <w:tcW w:w="84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3,080,010</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2,418,722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80" w:type="dxa"/>
            <w:vAlign w:val="bottom"/>
          </w:tcPr>
          <w:p>
            <w:pPr>
              <w:ind w:left="180"/>
              <w:spacing w:after="0" w:line="201" w:lineRule="exact"/>
              <w:rPr>
                <w:sz w:val="20"/>
                <w:szCs w:val="20"/>
                <w:color w:val="auto"/>
              </w:rPr>
            </w:pPr>
            <w:r>
              <w:rPr>
                <w:rFonts w:ascii="Arial" w:cs="Arial" w:eastAsia="Arial" w:hAnsi="Arial"/>
                <w:sz w:val="18"/>
                <w:szCs w:val="18"/>
                <w:color w:val="auto"/>
                <w:w w:val="92"/>
              </w:rPr>
              <w:t>Common stock, $.001 par value, 500,000,000 shares authorized, 29,018,425 and 22,867,319 shares issued and</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360"/>
              <w:spacing w:after="0"/>
              <w:rPr>
                <w:sz w:val="20"/>
                <w:szCs w:val="20"/>
                <w:color w:val="auto"/>
              </w:rPr>
            </w:pPr>
            <w:r>
              <w:rPr>
                <w:rFonts w:ascii="Arial" w:cs="Arial" w:eastAsia="Arial" w:hAnsi="Arial"/>
                <w:sz w:val="18"/>
                <w:szCs w:val="18"/>
                <w:color w:val="auto"/>
              </w:rPr>
              <w:t>outstanding, respectively</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29,018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22,867</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$.001 par value, 10,000,000 shares authorized, no shares issued and outstanding</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Stock warrants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2,342,645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2,153,295</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paid-in-capital</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32,075,631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27,595,609</w:t>
            </w: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Stock payable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1,132,148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963,063</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stock compensation</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(34,500)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4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(26,305,240)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(26,124,750)</w:t>
            </w:r>
          </w:p>
        </w:tc>
        <w:tc>
          <w:tcPr>
            <w:tcW w:w="0" w:type="dxa"/>
            <w:vAlign w:val="bottom"/>
          </w:tcPr>
          <w:p>
            <w:pPr>
              <w:spacing w:after="0"/>
              <w:rPr>
                <w:sz w:val="1"/>
                <w:szCs w:val="1"/>
                <w:color w:val="auto"/>
              </w:rPr>
            </w:pPr>
          </w:p>
        </w:tc>
      </w:tr>
      <w:tr>
        <w:trPr>
          <w:trHeight w:val="236"/>
        </w:trPr>
        <w:tc>
          <w:tcPr>
            <w:tcW w:w="8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9,239,702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4,610,084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4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12,319,712</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7,028,806</w:t>
            </w:r>
          </w:p>
        </w:tc>
        <w:tc>
          <w:tcPr>
            <w:tcW w:w="0" w:type="dxa"/>
            <w:vAlign w:val="bottom"/>
          </w:tcPr>
          <w:p>
            <w:pPr>
              <w:spacing w:after="0"/>
              <w:rPr>
                <w:sz w:val="1"/>
                <w:szCs w:val="1"/>
                <w:color w:val="auto"/>
              </w:rPr>
            </w:pPr>
          </w:p>
        </w:tc>
      </w:tr>
      <w:tr>
        <w:trPr>
          <w:trHeight w:val="21"/>
        </w:trPr>
        <w:tc>
          <w:tcPr>
            <w:tcW w:w="8480" w:type="dxa"/>
            <w:vAlign w:val="bottom"/>
            <w:vMerge w:val="restart"/>
          </w:tcPr>
          <w:p>
            <w:pPr>
              <w:ind w:left="568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48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2015 AND 2014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6"/>
          </w:tcPr>
          <w:p>
            <w:pPr>
              <w:jc w:val="right"/>
              <w:ind w:right="440"/>
              <w:spacing w:after="0"/>
              <w:rPr>
                <w:sz w:val="20"/>
                <w:szCs w:val="20"/>
                <w:color w:val="auto"/>
              </w:rPr>
            </w:pPr>
            <w:r>
              <w:rPr>
                <w:rFonts w:ascii="Arial" w:cs="Arial" w:eastAsia="Arial" w:hAnsi="Arial"/>
                <w:sz w:val="18"/>
                <w:szCs w:val="18"/>
                <w:color w:val="auto"/>
                <w:w w:val="92"/>
              </w:rPr>
              <w:t>For the Three Months Ended</w:t>
            </w:r>
          </w:p>
        </w:tc>
        <w:tc>
          <w:tcPr>
            <w:tcW w:w="180" w:type="dxa"/>
            <w:vAlign w:val="bottom"/>
          </w:tcPr>
          <w:p>
            <w:pPr>
              <w:spacing w:after="0"/>
              <w:rPr>
                <w:sz w:val="20"/>
                <w:szCs w:val="20"/>
                <w:color w:val="auto"/>
              </w:rPr>
            </w:pPr>
          </w:p>
        </w:tc>
        <w:tc>
          <w:tcPr>
            <w:tcW w:w="2420" w:type="dxa"/>
            <w:vAlign w:val="bottom"/>
            <w:gridSpan w:val="6"/>
          </w:tcPr>
          <w:p>
            <w:pPr>
              <w:jc w:val="right"/>
              <w:ind w:right="340"/>
              <w:spacing w:after="0"/>
              <w:rPr>
                <w:sz w:val="20"/>
                <w:szCs w:val="20"/>
                <w:color w:val="auto"/>
              </w:rPr>
            </w:pPr>
            <w:r>
              <w:rPr>
                <w:rFonts w:ascii="Arial" w:cs="Arial" w:eastAsia="Arial" w:hAnsi="Arial"/>
                <w:sz w:val="18"/>
                <w:szCs w:val="18"/>
                <w:color w:val="auto"/>
                <w:w w:val="93"/>
              </w:rPr>
              <w:t>For the Nine Months Ended</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580" w:type="dxa"/>
            <w:vAlign w:val="bottom"/>
            <w:gridSpan w:val="6"/>
          </w:tcPr>
          <w:p>
            <w:pPr>
              <w:jc w:val="right"/>
              <w:ind w:right="980"/>
              <w:spacing w:after="0"/>
              <w:rPr>
                <w:sz w:val="20"/>
                <w:szCs w:val="20"/>
                <w:color w:val="auto"/>
              </w:rPr>
            </w:pPr>
            <w:r>
              <w:rPr>
                <w:rFonts w:ascii="Arial" w:cs="Arial" w:eastAsia="Arial" w:hAnsi="Arial"/>
                <w:sz w:val="18"/>
                <w:szCs w:val="18"/>
                <w:color w:val="auto"/>
              </w:rPr>
              <w:t>September 30</w:t>
            </w:r>
          </w:p>
        </w:tc>
        <w:tc>
          <w:tcPr>
            <w:tcW w:w="180" w:type="dxa"/>
            <w:vAlign w:val="bottom"/>
          </w:tcPr>
          <w:p>
            <w:pPr>
              <w:spacing w:after="0"/>
              <w:rPr>
                <w:sz w:val="22"/>
                <w:szCs w:val="22"/>
                <w:color w:val="auto"/>
              </w:rPr>
            </w:pPr>
          </w:p>
        </w:tc>
        <w:tc>
          <w:tcPr>
            <w:tcW w:w="2420" w:type="dxa"/>
            <w:vAlign w:val="bottom"/>
            <w:gridSpan w:val="6"/>
          </w:tcPr>
          <w:p>
            <w:pPr>
              <w:jc w:val="right"/>
              <w:ind w:right="86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91"/>
              <w:spacing w:after="0" w:line="201" w:lineRule="exact"/>
              <w:rPr>
                <w:sz w:val="20"/>
                <w:szCs w:val="20"/>
                <w:color w:val="auto"/>
              </w:rPr>
            </w:pPr>
            <w:r>
              <w:rPr>
                <w:rFonts w:ascii="Arial" w:cs="Arial" w:eastAsia="Arial" w:hAnsi="Arial"/>
                <w:sz w:val="18"/>
                <w:szCs w:val="18"/>
                <w:color w:val="auto"/>
                <w:w w:val="94"/>
              </w:rPr>
              <w:t>Restated</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71"/>
              <w:spacing w:after="0" w:line="201" w:lineRule="exact"/>
              <w:rPr>
                <w:sz w:val="20"/>
                <w:szCs w:val="20"/>
                <w:color w:val="auto"/>
              </w:rPr>
            </w:pPr>
            <w:r>
              <w:rPr>
                <w:rFonts w:ascii="Arial" w:cs="Arial" w:eastAsia="Arial" w:hAnsi="Arial"/>
                <w:sz w:val="18"/>
                <w:szCs w:val="18"/>
                <w:color w:val="auto"/>
                <w:w w:val="94"/>
              </w:rPr>
              <w:t>Restated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2,007,409</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1,819,421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5,200,419</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4,535,657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1,044,415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958,334</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2,683,183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2,249,885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962,994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861,087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2,517,236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2,285,772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875,425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1,155,933</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2,698,694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3,542,680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FROM OPERATIONS</w:t>
            </w: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87,569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(294,846)</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(181,458)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(1,256,908)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303</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968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TOTAL OTHER INCOME (EXPENSE)</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303</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968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87,937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(294,543)</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(180,490)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(1,256,276)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INCOME (LOSS)</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87,937</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line="256" w:lineRule="exact"/>
              <w:rPr>
                <w:sz w:val="20"/>
                <w:szCs w:val="20"/>
                <w:color w:val="auto"/>
              </w:rPr>
            </w:pPr>
            <w:r>
              <w:rPr>
                <w:rFonts w:ascii="Arial" w:cs="Arial" w:eastAsia="Arial" w:hAnsi="Arial"/>
                <w:sz w:val="16"/>
                <w:szCs w:val="16"/>
                <w:color w:val="auto"/>
              </w:rPr>
              <w:t>(294,543</w:t>
            </w:r>
            <w:r>
              <w:rPr>
                <w:rFonts w:ascii="Arial" w:cs="Arial" w:eastAsia="Arial" w:hAnsi="Arial"/>
                <w:sz w:val="29"/>
                <w:szCs w:val="29"/>
                <w:color w:val="auto"/>
                <w:vertAlign w:val="superscript"/>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line="256" w:lineRule="exact"/>
              <w:rPr>
                <w:sz w:val="20"/>
                <w:szCs w:val="20"/>
                <w:color w:val="auto"/>
              </w:rPr>
            </w:pPr>
            <w:r>
              <w:rPr>
                <w:rFonts w:ascii="Arial" w:cs="Arial" w:eastAsia="Arial" w:hAnsi="Arial"/>
                <w:sz w:val="16"/>
                <w:szCs w:val="16"/>
                <w:color w:val="auto"/>
              </w:rPr>
              <w:t>(180,490</w:t>
            </w:r>
            <w:r>
              <w:rPr>
                <w:rFonts w:ascii="Arial" w:cs="Arial" w:eastAsia="Arial" w:hAnsi="Arial"/>
                <w:sz w:val="29"/>
                <w:szCs w:val="29"/>
                <w:color w:val="auto"/>
                <w:vertAlign w:val="superscript"/>
              </w:rPr>
              <w:t>)</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line="256" w:lineRule="exact"/>
              <w:rPr>
                <w:sz w:val="20"/>
                <w:szCs w:val="20"/>
                <w:color w:val="auto"/>
              </w:rPr>
            </w:pPr>
            <w:r>
              <w:rPr>
                <w:rFonts w:ascii="Arial" w:cs="Arial" w:eastAsia="Arial" w:hAnsi="Arial"/>
                <w:sz w:val="16"/>
                <w:szCs w:val="16"/>
                <w:color w:val="auto"/>
              </w:rPr>
              <w:t>(1,256,276</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WEIGHTED AVERGE NUMBER OF SHARES OUTSTANDING</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BASIC</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23,259,837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23,362,377</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23,060,787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21,089,514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24,348,551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93"/>
              </w:rPr>
              <w:t>N/A</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line="256" w:lineRule="exact"/>
              <w:rPr>
                <w:sz w:val="20"/>
                <w:szCs w:val="20"/>
                <w:color w:val="auto"/>
              </w:rPr>
            </w:pPr>
            <w:r>
              <w:rPr>
                <w:rFonts w:ascii="Arial" w:cs="Arial" w:eastAsia="Arial" w:hAnsi="Arial"/>
                <w:sz w:val="16"/>
                <w:szCs w:val="16"/>
                <w:color w:val="auto"/>
              </w:rPr>
              <w:t>(0.01</w:t>
            </w:r>
            <w:r>
              <w:rPr>
                <w:rFonts w:ascii="Arial" w:cs="Arial" w:eastAsia="Arial" w:hAnsi="Arial"/>
                <w:sz w:val="29"/>
                <w:szCs w:val="29"/>
                <w:color w:val="auto"/>
                <w:vertAlign w:val="superscript"/>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(0.01</w:t>
            </w:r>
            <w:r>
              <w:rPr>
                <w:rFonts w:ascii="Arial" w:cs="Arial" w:eastAsia="Arial" w:hAnsi="Arial"/>
                <w:sz w:val="29"/>
                <w:szCs w:val="29"/>
                <w:color w:val="auto"/>
                <w:vertAlign w:val="superscript"/>
              </w:rPr>
              <w:t>)</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(0.05</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4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3"/>
              </w:rPr>
              <w:t>N/A</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820" w:type="dxa"/>
            <w:vAlign w:val="bottom"/>
            <w:vMerge w:val="restart"/>
          </w:tcPr>
          <w:p>
            <w:pPr>
              <w:jc w:val="right"/>
              <w:ind w:right="230"/>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Company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OptimizeRx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dbaker@samplemd.com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248-651-6568 x807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Liolios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Ron Both, Senior Managing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oprx@liolios.com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949-574-3860</w:t>
      </w:r>
    </w:p>
    <w:p>
      <w:pPr>
        <w:spacing w:after="0" w:line="200" w:lineRule="exact"/>
        <w:rPr>
          <w:sz w:val="20"/>
          <w:szCs w:val="20"/>
          <w:color w:val="auto"/>
        </w:rPr>
      </w:pPr>
    </w:p>
    <w:p>
      <w:pPr>
        <w:spacing w:after="0" w:line="227"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0219"/>
      </w:cols>
      <w:pgMar w:left="2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2019-12-08T22:08:27Z</dcterms:created>
  <dcterms:modified xsi:type="dcterms:W3CDTF">2019-12-08T22:08:27Z</dcterms:modified>
</cp:coreProperties>
</file>