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40" w:type="dxa"/>
            <w:vAlign w:val="bottom"/>
            <w:gridSpan w:val="6"/>
          </w:tcPr>
          <w:p>
            <w:pPr>
              <w:jc w:val="center"/>
              <w:ind w:right="1560"/>
              <w:spacing w:after="0"/>
              <w:rPr>
                <w:sz w:val="20"/>
                <w:szCs w:val="20"/>
                <w:color w:val="auto"/>
              </w:rPr>
            </w:pPr>
            <w:r>
              <w:rPr>
                <w:rFonts w:ascii="Arial" w:cs="Arial" w:eastAsia="Arial" w:hAnsi="Arial"/>
                <w:sz w:val="18"/>
                <w:szCs w:val="18"/>
                <w:b w:val="1"/>
                <w:bCs w:val="1"/>
                <w:color w:val="auto"/>
              </w:rPr>
              <w:t>FORM 8-K/A</w:t>
            </w:r>
          </w:p>
        </w:tc>
        <w:tc>
          <w:tcPr>
            <w:tcW w:w="326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40" w:type="dxa"/>
            <w:vAlign w:val="bottom"/>
            <w:gridSpan w:val="6"/>
          </w:tcPr>
          <w:p>
            <w:pPr>
              <w:jc w:val="center"/>
              <w:ind w:right="1540"/>
              <w:spacing w:after="0"/>
              <w:rPr>
                <w:sz w:val="20"/>
                <w:szCs w:val="20"/>
                <w:color w:val="auto"/>
              </w:rPr>
            </w:pPr>
            <w:r>
              <w:rPr>
                <w:rFonts w:ascii="Arial" w:cs="Arial" w:eastAsia="Arial" w:hAnsi="Arial"/>
                <w:sz w:val="18"/>
                <w:szCs w:val="18"/>
                <w:b w:val="1"/>
                <w:bCs w:val="1"/>
                <w:color w:val="auto"/>
                <w:w w:val="91"/>
              </w:rPr>
              <w:t>Amendment No. 1</w:t>
            </w:r>
          </w:p>
        </w:tc>
        <w:tc>
          <w:tcPr>
            <w:tcW w:w="3260" w:type="dxa"/>
            <w:vAlign w:val="bottom"/>
          </w:tcPr>
          <w:p>
            <w:pPr>
              <w:spacing w:after="0"/>
              <w:rPr>
                <w:sz w:val="24"/>
                <w:szCs w:val="24"/>
                <w:color w:val="auto"/>
              </w:rPr>
            </w:pPr>
          </w:p>
        </w:tc>
      </w:tr>
      <w:tr>
        <w:trPr>
          <w:trHeight w:val="414"/>
        </w:trPr>
        <w:tc>
          <w:tcPr>
            <w:tcW w:w="3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40" w:type="dxa"/>
            <w:vAlign w:val="bottom"/>
            <w:gridSpan w:val="6"/>
          </w:tcPr>
          <w:p>
            <w:pPr>
              <w:jc w:val="center"/>
              <w:ind w:right="1540"/>
              <w:spacing w:after="0"/>
              <w:rPr>
                <w:sz w:val="20"/>
                <w:szCs w:val="20"/>
                <w:color w:val="auto"/>
              </w:rPr>
            </w:pPr>
            <w:r>
              <w:rPr>
                <w:rFonts w:ascii="Arial" w:cs="Arial" w:eastAsia="Arial" w:hAnsi="Arial"/>
                <w:sz w:val="18"/>
                <w:szCs w:val="18"/>
                <w:b w:val="1"/>
                <w:bCs w:val="1"/>
                <w:color w:val="auto"/>
                <w:w w:val="99"/>
              </w:rPr>
              <w:t>CURRENT REPORT</w:t>
            </w:r>
          </w:p>
        </w:tc>
        <w:tc>
          <w:tcPr>
            <w:tcW w:w="326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60" w:type="dxa"/>
            <w:vAlign w:val="bottom"/>
            <w:gridSpan w:val="7"/>
          </w:tcPr>
          <w:p>
            <w:pPr>
              <w:jc w:val="center"/>
              <w:ind w:right="640"/>
              <w:spacing w:after="0"/>
              <w:rPr>
                <w:sz w:val="20"/>
                <w:szCs w:val="20"/>
                <w:color w:val="auto"/>
              </w:rPr>
            </w:pPr>
            <w:r>
              <w:rPr>
                <w:rFonts w:ascii="Arial" w:cs="Arial" w:eastAsia="Arial" w:hAnsi="Arial"/>
                <w:sz w:val="18"/>
                <w:szCs w:val="18"/>
                <w:b w:val="1"/>
                <w:bCs w:val="1"/>
                <w:color w:val="auto"/>
                <w:w w:val="97"/>
              </w:rPr>
              <w:t>PURSUANT TO SECTION 13 OR 15(d) OF</w:t>
            </w:r>
          </w:p>
        </w:tc>
        <w:tc>
          <w:tcPr>
            <w:tcW w:w="3260" w:type="dxa"/>
            <w:vAlign w:val="bottom"/>
          </w:tcPr>
          <w:p>
            <w:pPr>
              <w:spacing w:after="0"/>
              <w:rPr>
                <w:sz w:val="18"/>
                <w:szCs w:val="18"/>
                <w:color w:val="auto"/>
              </w:rPr>
            </w:pPr>
          </w:p>
        </w:tc>
      </w:tr>
      <w:tr>
        <w:trPr>
          <w:trHeight w:val="234"/>
        </w:trPr>
        <w:tc>
          <w:tcPr>
            <w:tcW w:w="3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500" w:type="dxa"/>
            <w:vAlign w:val="bottom"/>
            <w:gridSpan w:val="8"/>
          </w:tcPr>
          <w:p>
            <w:pPr>
              <w:jc w:val="center"/>
              <w:ind w:right="38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6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5120" w:type="dxa"/>
            <w:vAlign w:val="bottom"/>
            <w:gridSpan w:val="9"/>
          </w:tcPr>
          <w:p>
            <w:pPr>
              <w:jc w:val="center"/>
              <w:ind w:left="150"/>
              <w:spacing w:after="0"/>
              <w:rPr>
                <w:sz w:val="20"/>
                <w:szCs w:val="20"/>
                <w:color w:val="auto"/>
              </w:rPr>
            </w:pPr>
            <w:r>
              <w:rPr>
                <w:rFonts w:ascii="Arial" w:cs="Arial" w:eastAsia="Arial" w:hAnsi="Arial"/>
                <w:sz w:val="18"/>
                <w:szCs w:val="18"/>
                <w:color w:val="auto"/>
                <w:w w:val="90"/>
              </w:rPr>
              <w:t>Date of Report (Date of earliest event reported): October 17, 2018</w:t>
            </w:r>
          </w:p>
        </w:tc>
        <w:tc>
          <w:tcPr>
            <w:tcW w:w="3260" w:type="dxa"/>
            <w:vAlign w:val="bottom"/>
          </w:tcPr>
          <w:p>
            <w:pPr>
              <w:spacing w:after="0"/>
              <w:rPr>
                <w:sz w:val="24"/>
                <w:szCs w:val="24"/>
                <w:color w:val="auto"/>
              </w:rPr>
            </w:pPr>
          </w:p>
        </w:tc>
      </w:tr>
      <w:tr>
        <w:trPr>
          <w:trHeight w:val="392"/>
        </w:trPr>
        <w:tc>
          <w:tcPr>
            <w:tcW w:w="3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40" w:type="dxa"/>
            <w:vAlign w:val="bottom"/>
            <w:gridSpan w:val="3"/>
          </w:tcPr>
          <w:p>
            <w:pPr>
              <w:spacing w:after="0"/>
              <w:rPr>
                <w:sz w:val="24"/>
                <w:szCs w:val="24"/>
                <w:color w:val="auto"/>
              </w:rPr>
            </w:pPr>
          </w:p>
        </w:tc>
        <w:tc>
          <w:tcPr>
            <w:tcW w:w="3260" w:type="dxa"/>
            <w:vAlign w:val="bottom"/>
          </w:tcPr>
          <w:p>
            <w:pPr>
              <w:spacing w:after="0"/>
              <w:rPr>
                <w:sz w:val="24"/>
                <w:szCs w:val="24"/>
                <w:color w:val="auto"/>
              </w:rPr>
            </w:pPr>
          </w:p>
        </w:tc>
      </w:tr>
      <w:tr>
        <w:trPr>
          <w:trHeight w:val="237"/>
        </w:trPr>
        <w:tc>
          <w:tcPr>
            <w:tcW w:w="3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500" w:type="dxa"/>
            <w:vAlign w:val="bottom"/>
            <w:gridSpan w:val="8"/>
          </w:tcPr>
          <w:p>
            <w:pPr>
              <w:jc w:val="center"/>
              <w:ind w:right="380"/>
              <w:spacing w:after="0"/>
              <w:rPr>
                <w:sz w:val="20"/>
                <w:szCs w:val="20"/>
                <w:color w:val="auto"/>
              </w:rPr>
            </w:pPr>
            <w:r>
              <w:rPr>
                <w:rFonts w:ascii="Arial" w:cs="Arial" w:eastAsia="Arial" w:hAnsi="Arial"/>
                <w:sz w:val="18"/>
                <w:szCs w:val="18"/>
                <w:color w:val="auto"/>
                <w:w w:val="90"/>
              </w:rPr>
              <w:t>(Exact name of registrant as specified in its charter)</w:t>
            </w:r>
          </w:p>
        </w:tc>
        <w:tc>
          <w:tcPr>
            <w:tcW w:w="3260" w:type="dxa"/>
            <w:vAlign w:val="bottom"/>
          </w:tcPr>
          <w:p>
            <w:pPr>
              <w:spacing w:after="0"/>
              <w:rPr>
                <w:sz w:val="20"/>
                <w:szCs w:val="20"/>
                <w:color w:val="auto"/>
              </w:rPr>
            </w:pPr>
          </w:p>
        </w:tc>
      </w:tr>
      <w:tr>
        <w:trPr>
          <w:trHeight w:val="453"/>
        </w:trPr>
        <w:tc>
          <w:tcPr>
            <w:tcW w:w="3040" w:type="dxa"/>
            <w:vAlign w:val="bottom"/>
          </w:tcPr>
          <w:p>
            <w:pPr>
              <w:jc w:val="center"/>
              <w:ind w:left="550"/>
              <w:spacing w:after="0"/>
              <w:rPr>
                <w:sz w:val="20"/>
                <w:szCs w:val="20"/>
                <w:color w:val="auto"/>
              </w:rPr>
            </w:pPr>
            <w:r>
              <w:rPr>
                <w:rFonts w:ascii="Arial" w:cs="Arial" w:eastAsia="Arial" w:hAnsi="Arial"/>
                <w:sz w:val="18"/>
                <w:szCs w:val="18"/>
                <w:color w:val="auto"/>
                <w:w w:val="90"/>
              </w:rPr>
              <w:t>Nevada</w:t>
            </w:r>
          </w:p>
        </w:tc>
        <w:tc>
          <w:tcPr>
            <w:tcW w:w="3580" w:type="dxa"/>
            <w:vAlign w:val="bottom"/>
            <w:gridSpan w:val="6"/>
          </w:tcPr>
          <w:p>
            <w:pPr>
              <w:jc w:val="center"/>
              <w:ind w:left="171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60" w:type="dxa"/>
            <w:vAlign w:val="bottom"/>
          </w:tcPr>
          <w:p>
            <w:pPr>
              <w:jc w:val="center"/>
              <w:ind w:right="290"/>
              <w:spacing w:after="0"/>
              <w:rPr>
                <w:sz w:val="20"/>
                <w:szCs w:val="20"/>
                <w:color w:val="auto"/>
              </w:rPr>
            </w:pPr>
            <w:r>
              <w:rPr>
                <w:rFonts w:ascii="Arial" w:cs="Arial" w:eastAsia="Arial" w:hAnsi="Arial"/>
                <w:sz w:val="18"/>
                <w:szCs w:val="18"/>
                <w:color w:val="auto"/>
                <w:w w:val="91"/>
              </w:rPr>
              <w:t>26-1265381</w:t>
            </w:r>
          </w:p>
        </w:tc>
      </w:tr>
      <w:tr>
        <w:trPr>
          <w:trHeight w:val="202"/>
        </w:trPr>
        <w:tc>
          <w:tcPr>
            <w:tcW w:w="3040" w:type="dxa"/>
            <w:vAlign w:val="bottom"/>
            <w:tcBorders>
              <w:top w:val="single" w:sz="8" w:color="auto"/>
            </w:tcBorders>
          </w:tcPr>
          <w:p>
            <w:pPr>
              <w:jc w:val="center"/>
              <w:ind w:left="490"/>
              <w:spacing w:after="0" w:line="201" w:lineRule="exact"/>
              <w:rPr>
                <w:sz w:val="20"/>
                <w:szCs w:val="20"/>
                <w:color w:val="auto"/>
              </w:rPr>
            </w:pPr>
            <w:r>
              <w:rPr>
                <w:rFonts w:ascii="Arial" w:cs="Arial" w:eastAsia="Arial" w:hAnsi="Arial"/>
                <w:sz w:val="18"/>
                <w:szCs w:val="18"/>
                <w:color w:val="auto"/>
                <w:w w:val="92"/>
              </w:rPr>
              <w:t>(State or other jurisdiction</w:t>
            </w: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260" w:type="dxa"/>
            <w:vAlign w:val="bottom"/>
            <w:tcBorders>
              <w:top w:val="single" w:sz="8" w:color="auto"/>
            </w:tcBorders>
          </w:tcPr>
          <w:p>
            <w:pPr>
              <w:jc w:val="center"/>
              <w:ind w:right="35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040" w:type="dxa"/>
            <w:vAlign w:val="bottom"/>
          </w:tcPr>
          <w:p>
            <w:pPr>
              <w:jc w:val="center"/>
              <w:ind w:left="550"/>
              <w:spacing w:after="0"/>
              <w:rPr>
                <w:sz w:val="20"/>
                <w:szCs w:val="20"/>
                <w:color w:val="auto"/>
              </w:rPr>
            </w:pPr>
            <w:r>
              <w:rPr>
                <w:rFonts w:ascii="Arial" w:cs="Arial" w:eastAsia="Arial" w:hAnsi="Arial"/>
                <w:sz w:val="18"/>
                <w:szCs w:val="18"/>
                <w:color w:val="auto"/>
                <w:w w:val="95"/>
              </w:rPr>
              <w:t>of incorporation)</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60" w:type="dxa"/>
            <w:vAlign w:val="bottom"/>
          </w:tcPr>
          <w:p>
            <w:pPr>
              <w:jc w:val="center"/>
              <w:ind w:right="31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160" w:type="dxa"/>
            <w:vAlign w:val="bottom"/>
            <w:gridSpan w:val="10"/>
          </w:tcPr>
          <w:p>
            <w:pPr>
              <w:jc w:val="center"/>
              <w:ind w:right="2540"/>
              <w:spacing w:after="0"/>
              <w:rPr>
                <w:sz w:val="20"/>
                <w:szCs w:val="20"/>
                <w:color w:val="auto"/>
              </w:rPr>
            </w:pPr>
            <w:r>
              <w:rPr>
                <w:rFonts w:ascii="Arial" w:cs="Arial" w:eastAsia="Arial" w:hAnsi="Arial"/>
                <w:sz w:val="18"/>
                <w:szCs w:val="18"/>
                <w:color w:val="auto"/>
                <w:w w:val="90"/>
              </w:rPr>
              <w:t>400 Water Street, Suite 200, Rochester, MI</w:t>
            </w:r>
          </w:p>
        </w:tc>
        <w:tc>
          <w:tcPr>
            <w:tcW w:w="326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3"/>
          </w:tcPr>
          <w:p>
            <w:pPr>
              <w:spacing w:after="0"/>
              <w:rPr>
                <w:sz w:val="20"/>
                <w:szCs w:val="20"/>
                <w:color w:val="auto"/>
              </w:rPr>
            </w:pPr>
          </w:p>
        </w:tc>
        <w:tc>
          <w:tcPr>
            <w:tcW w:w="3260" w:type="dxa"/>
            <w:vAlign w:val="bottom"/>
            <w:tcBorders>
              <w:top w:val="single" w:sz="8" w:color="auto"/>
            </w:tcBorders>
          </w:tcPr>
          <w:p>
            <w:pPr>
              <w:jc w:val="center"/>
              <w:ind w:right="225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289560</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jc w:val="center"/>
        <w:ind w:right="-2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October 17, 2018, we filed a Current Report on Form 8-K to disclose entering into a Stock Purchase Agreement (the “Agreement”) with, among others, CareSpeak Communications, Inc., a New Jersey corporation, described in Item 1.01 to that report. This Amendment to the Current Report on Form 8-K is filed to provide the required financial statements of the business acquired and pro forma financial information.</w:t>
      </w:r>
    </w:p>
    <w:p>
      <w:pPr>
        <w:spacing w:after="0" w:line="390"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904"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SECTION 1 - REGISTRANT'S BUSINESS AND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 ENTRY INTO A MATERIAL DEFINITIVE AGREEMENT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October 17, 2018, OptimizeRx Corp. (the “Company”) entered into, and consummated the transactions contemplated by, a Stock Purchase Agreement (the “Purchase Agreement”) by and among the Company, CareSpeak Communications, Inc., a New Jersey corporation (“CareSpeak”) the selling shareholders of CareSpeak (collectively, the “Sellers”), each of Srdjan Loncar, United Healthcare Services, Inc., Christopher DiCostanzo and Kresimir Nesek as “Seller Indemnitors” and Srdjan Loncar in his capacity as seller’s representative, which agreement provided for the purchase of all of the equity of CareSpeak by the Company.</w:t>
      </w:r>
    </w:p>
    <w:p>
      <w:pPr>
        <w:spacing w:after="0" w:line="18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consideration for the acquisition consists of $5.5 million in cash, as adjusted for estimated working capital, estimated indebtedness, escrow amounts and Sellers’ estimated transaction expenses, as well as shares of the Company’s common stock equal to $500,000 divided by the VWAP for the thirty (30) trading day period ending the day prior to Closing, and earnout payments of up to $3 million, if any become payable, as a result of achieving certain revenue targets for 2019 and 2020. In addition, the Company incurred its own expenses for the transaction at approximately $500,000.</w:t>
      </w:r>
    </w:p>
    <w:p>
      <w:pPr>
        <w:spacing w:after="0" w:line="154"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On a standalone basis, CareSpeak is expected to have revenues in excess of $1.0 million in 2018 and be profitable at that level. Only the portion of that revenue recognized from October 17, 2018 through December 31, 2018 will be reflected in our consolidated financial statements.</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Purchase Agreement also contains certain restrictive covenants whereby Sellers are prohibited from (a) competing with the business of the Company, (b) soliciting employees of the Company and (c) intentionally interfering with the Company’s business relationships, in each case during the four-year period immediately following the Closing Date.</w:t>
      </w:r>
    </w:p>
    <w:p>
      <w:pPr>
        <w:spacing w:after="0" w:line="18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Purchase Agreement contains customary representations and warranties of the parties, including, among others, with respect to corporate organization, capitalization, corporate authority, financial statements and compliance with applicable laws. The representations and warranties of each party set forth in the Purchase Agreement were made solely for the benefit of the other parties to the Purchase Agreement, and investors are not third-party beneficiaries of the Purchase Agreement. In addition, such representations and warranties (a) are subject to materiality and other qualifications contained in the Purchase Agreement, which may differ from what may be viewed as material by investors, (b) were made only as of the date of the Purchase Agreement or such other date as is specified in the Purchase Agreement and (c) may have been included in the Purchase Agreement for the purpose of allocating risk between the parties rather than establishing matters as facts. Accordingly, the Purchase Agreement is included with this filing only to provide investors with information regarding the terms of the Purchase Agreement, and not to provide investors with any other factual information regarding any of the parties or their respective businesses.</w:t>
      </w:r>
    </w:p>
    <w:p>
      <w:pPr>
        <w:spacing w:after="0" w:line="1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foregoing description of the Purchase Agreement is not complete and is qualified in its entirety by reference to the text of such document, which is filed as Exhibit 2.1 hereto and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October 17, 2018, the Company completed the acquisition of CareSpeak. As a result of the Closing, CareSpeak became a wholly-owned subsidiary of the Company. Please refer to Item 1.01 above for addition information about the acquisition.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17, 2018, we issued a press release concerning the acquisition of CareSpeak. A copy of the press release is attached as Exhibit 99.1 to this Current Report on Form 8-K.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firstLine="8"/>
        <w:spacing w:after="0" w:line="277" w:lineRule="auto"/>
        <w:tabs>
          <w:tab w:leader="none" w:pos="245"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Statements of Businesses Acquired. The financial statements of CareSpeak required by Item 9.01(a) to this Current Report on Form 8-K are filed as exhibits 99.2 and 99.3.</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 Forma Financial Information. The pro forma financial information required by Item 9.01(b) to this Current Report on Form 8-K are filed as exhibit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99.4.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1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380" w:type="dxa"/>
            <w:vAlign w:val="bottom"/>
            <w:gridSpan w:val="7"/>
          </w:tcPr>
          <w:p>
            <w:pPr>
              <w:ind w:left="1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2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6"/>
                <w:szCs w:val="16"/>
                <w:color w:val="auto"/>
              </w:rPr>
            </w:pPr>
          </w:p>
        </w:tc>
        <w:tc>
          <w:tcPr>
            <w:tcW w:w="10280" w:type="dxa"/>
            <w:vAlign w:val="bottom"/>
            <w:tcBorders>
              <w:top w:val="single" w:sz="8" w:color="auto"/>
            </w:tcBorders>
            <w:gridSpan w:val="6"/>
            <w:shd w:val="clear" w:color="auto" w:fill="CCEEFF"/>
          </w:tcPr>
          <w:p>
            <w:pPr>
              <w:spacing w:after="0" w:line="170" w:lineRule="exact"/>
              <w:rPr>
                <w:rFonts w:ascii="Arial" w:cs="Arial" w:eastAsia="Arial" w:hAnsi="Arial"/>
                <w:sz w:val="18"/>
                <w:szCs w:val="18"/>
                <w:color w:val="0000EE"/>
              </w:rPr>
            </w:pPr>
            <w:hyperlink r:id="rId17">
              <w:r>
                <w:rPr>
                  <w:rFonts w:ascii="Arial" w:cs="Arial" w:eastAsia="Arial" w:hAnsi="Arial"/>
                  <w:sz w:val="18"/>
                  <w:szCs w:val="18"/>
                  <w:color w:val="0000EE"/>
                </w:rPr>
                <w:t>Stock Purchase Agreement, dated October 16, 2018(1)</w:t>
              </w:r>
            </w:hyperlink>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99.1</w:t>
            </w:r>
          </w:p>
        </w:tc>
        <w:tc>
          <w:tcPr>
            <w:tcW w:w="100" w:type="dxa"/>
            <w:vAlign w:val="bottom"/>
            <w:tcBorders>
              <w:top w:val="single" w:sz="8" w:color="CCEEFF"/>
            </w:tcBorders>
          </w:tcPr>
          <w:p>
            <w:pPr>
              <w:spacing w:after="0"/>
              <w:rPr>
                <w:sz w:val="15"/>
                <w:szCs w:val="15"/>
                <w:color w:val="auto"/>
              </w:rPr>
            </w:pPr>
          </w:p>
        </w:tc>
        <w:tc>
          <w:tcPr>
            <w:tcW w:w="394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r:id="rId18">
              <w:r>
                <w:rPr>
                  <w:rFonts w:ascii="Arial" w:cs="Arial" w:eastAsia="Arial" w:hAnsi="Arial"/>
                  <w:sz w:val="18"/>
                  <w:szCs w:val="18"/>
                  <w:color w:val="0000EE"/>
                </w:rPr>
                <w:t>Press Release, dated October 16, 2018(1)</w:t>
              </w:r>
            </w:hyperlink>
          </w:p>
        </w:tc>
        <w:tc>
          <w:tcPr>
            <w:tcW w:w="63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15"/>
                <w:szCs w:val="15"/>
                <w:color w:val="auto"/>
              </w:rPr>
            </w:pPr>
          </w:p>
        </w:tc>
        <w:tc>
          <w:tcPr>
            <w:tcW w:w="10280" w:type="dxa"/>
            <w:vAlign w:val="bottom"/>
            <w:gridSpan w:val="6"/>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Audited financial statements for CareSpeak</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99.3</w:t>
            </w:r>
          </w:p>
        </w:tc>
        <w:tc>
          <w:tcPr>
            <w:tcW w:w="100" w:type="dxa"/>
            <w:vAlign w:val="bottom"/>
          </w:tcPr>
          <w:p>
            <w:pPr>
              <w:spacing w:after="0"/>
              <w:rPr>
                <w:sz w:val="15"/>
                <w:szCs w:val="15"/>
                <w:color w:val="auto"/>
              </w:rPr>
            </w:pPr>
          </w:p>
        </w:tc>
        <w:tc>
          <w:tcPr>
            <w:tcW w:w="10280" w:type="dxa"/>
            <w:vAlign w:val="bottom"/>
            <w:gridSpan w:val="6"/>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Reviewed financial statements for CareSpeak</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99.4</w:t>
            </w:r>
          </w:p>
        </w:tc>
        <w:tc>
          <w:tcPr>
            <w:tcW w:w="10380" w:type="dxa"/>
            <w:vAlign w:val="bottom"/>
            <w:gridSpan w:val="7"/>
            <w:shd w:val="clear" w:color="auto" w:fill="CCEEFF"/>
          </w:tcPr>
          <w:p>
            <w:pPr>
              <w:ind w:left="10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Unaudited pro forma financial information</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Previously filed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OptimizeRx Corporation</w:t>
      </w:r>
    </w:p>
    <w:p>
      <w:pPr>
        <w:spacing w:after="0" w:line="225"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December 10, 2018</w:t>
      </w:r>
      <w:r>
        <w:rPr>
          <w:sz w:val="20"/>
          <w:szCs w:val="20"/>
          <w:color w:val="auto"/>
        </w:rPr>
        <w:tab/>
      </w:r>
      <w:r>
        <w:rPr>
          <w:rFonts w:ascii="Arial" w:cs="Arial" w:eastAsia="Arial" w:hAnsi="Arial"/>
          <w:sz w:val="16"/>
          <w:szCs w:val="16"/>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99.2</w:t>
      </w:r>
    </w:p>
    <w:p>
      <w:pPr>
        <w:spacing w:after="0" w:line="243" w:lineRule="exact"/>
        <w:rPr>
          <w:sz w:val="20"/>
          <w:szCs w:val="20"/>
          <w:color w:val="auto"/>
        </w:rPr>
      </w:pPr>
    </w:p>
    <w:p>
      <w:pPr>
        <w:ind w:left="264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Carespeak Communications,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Opinion on the Financial Statements</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audited the accompanying consolidated balance sheets of Carespeak Communications, Inc. (“the Company”) as of December 31, 2017 and 2016, the related consolidated statements of operations, stockholders’ equity, and cash flows for each of the years in the two-year period ended December 31, 2017 and the related notes (collectively referred to as the “financial statements”). In our opinion, the financial statements referred to above present fairly, in all material respects, the financial position of the Company as of December 31, 2017 and 2016, and the results of its operations and its cash flows for each of the years in the two-year period ended December 31, 2017, in conformity with accounting principles generally accepted in the United States of America.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for Opinion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Sadler, Gibb &amp; Associates,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current assets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Current Assets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NET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jc w:val="center"/>
        <w:ind w:right="3060"/>
        <w:spacing w:after="0" w:line="266" w:lineRule="auto"/>
        <w:rPr>
          <w:sz w:val="20"/>
          <w:szCs w:val="20"/>
          <w:color w:val="auto"/>
        </w:rPr>
      </w:pPr>
      <w:r>
        <w:rPr>
          <w:rFonts w:ascii="Arial" w:cs="Arial" w:eastAsia="Arial" w:hAnsi="Arial"/>
          <w:sz w:val="18"/>
          <w:szCs w:val="18"/>
          <w:b w:val="1"/>
          <w:bCs w:val="1"/>
          <w:color w:val="auto"/>
        </w:rPr>
        <w:t>CARESPEAK COMMUNICATIONS, INC CONSOLIDATED BALANCE SHEETS FOR THE YEARS ENDED DECEMBER 31, 2017 and 2016</w:t>
      </w:r>
    </w:p>
    <w:p>
      <w:pPr>
        <w:spacing w:after="0" w:line="180" w:lineRule="exact"/>
        <w:rPr>
          <w:sz w:val="20"/>
          <w:szCs w:val="20"/>
          <w:color w:val="auto"/>
        </w:rPr>
      </w:pPr>
    </w:p>
    <w:tbl>
      <w:tblPr>
        <w:tblLayout w:type="fixed"/>
        <w:tblInd w:w="960" w:type="dxa"/>
        <w:tblCellMar>
          <w:top w:w="0" w:type="dxa"/>
          <w:left w:w="0" w:type="dxa"/>
          <w:bottom w:w="0" w:type="dxa"/>
          <w:right w:w="0" w:type="dxa"/>
        </w:tblCellMar>
      </w:tblPr>
      <w:tr>
        <w:trPr>
          <w:trHeight w:val="230"/>
        </w:trPr>
        <w:tc>
          <w:tcPr>
            <w:tcW w:w="4800" w:type="dxa"/>
            <w:vAlign w:val="bottom"/>
          </w:tcPr>
          <w:p>
            <w:pPr>
              <w:spacing w:after="0"/>
              <w:rPr>
                <w:sz w:val="19"/>
                <w:szCs w:val="19"/>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December 31,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1"/>
              </w:rPr>
              <w:t>December 31,</w:t>
            </w:r>
          </w:p>
        </w:tc>
      </w:tr>
      <w:tr>
        <w:trPr>
          <w:trHeight w:val="237"/>
        </w:trPr>
        <w:tc>
          <w:tcPr>
            <w:tcW w:w="4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r>
      <w:tr>
        <w:trPr>
          <w:trHeight w:val="216"/>
        </w:trPr>
        <w:tc>
          <w:tcPr>
            <w:tcW w:w="48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418"/>
        </w:trPr>
        <w:tc>
          <w:tcPr>
            <w:tcW w:w="50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135,210</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154,431</w:t>
            </w:r>
          </w:p>
        </w:tc>
      </w:tr>
      <w:tr>
        <w:trPr>
          <w:trHeight w:val="230"/>
        </w:trPr>
        <w:tc>
          <w:tcPr>
            <w:tcW w:w="4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129,382</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16,798</w:t>
            </w:r>
          </w:p>
        </w:tc>
      </w:tr>
      <w:tr>
        <w:trPr>
          <w:trHeight w:val="237"/>
        </w:trPr>
        <w:tc>
          <w:tcPr>
            <w:tcW w:w="4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18,900</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283,492</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171,229</w:t>
            </w:r>
          </w:p>
        </w:tc>
      </w:tr>
      <w:tr>
        <w:trPr>
          <w:trHeight w:val="431"/>
        </w:trPr>
        <w:tc>
          <w:tcPr>
            <w:tcW w:w="4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2,483</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4,583</w:t>
            </w:r>
          </w:p>
        </w:tc>
      </w:tr>
      <w:tr>
        <w:trPr>
          <w:trHeight w:val="27"/>
        </w:trPr>
        <w:tc>
          <w:tcPr>
            <w:tcW w:w="4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r>
        <w:trPr>
          <w:trHeight w:val="480"/>
        </w:trPr>
        <w:tc>
          <w:tcPr>
            <w:tcW w:w="50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285,975</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175,812</w:t>
            </w:r>
          </w:p>
        </w:tc>
      </w:tr>
      <w:tr>
        <w:trPr>
          <w:trHeight w:val="21"/>
        </w:trPr>
        <w:tc>
          <w:tcPr>
            <w:tcW w:w="4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-1217295</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-942975</wp:posOffset>
            </wp:positionV>
            <wp:extent cx="72466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-642620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-351155</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860" w:space="200"/>
            <w:col w:w="8360"/>
          </w:cols>
          <w:pgMar w:left="240" w:top="904" w:right="239" w:bottom="1440" w:gutter="0" w:footer="0" w:header="0"/>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8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38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Accounts payable and accrued expenses</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74,890</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57,879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74,880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Borders>
              <w:top w:val="single" w:sz="8" w:color="CCEEFF"/>
            </w:tcBorders>
          </w:tcPr>
          <w:p>
            <w:pPr>
              <w:ind w:left="320"/>
              <w:spacing w:after="0" w:line="203" w:lineRule="exact"/>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149,770</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89,318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Common stock, with no par value, 200,000 authorized and 1,087 shares issued and outstanding at December 31, 2017</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and 2016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Additional paid-in-capital</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356,445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351,951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(220,240)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(265,457)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136,205</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86,494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285,975</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175,812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7" w:name="page8"/>
    <w:bookmarkEnd w:id="7"/>
    <w:p>
      <w:pPr>
        <w:jc w:val="center"/>
        <w:ind w:left="260" w:right="2840"/>
        <w:spacing w:after="0" w:line="266" w:lineRule="auto"/>
        <w:rPr>
          <w:sz w:val="20"/>
          <w:szCs w:val="20"/>
          <w:color w:val="auto"/>
        </w:rPr>
      </w:pPr>
      <w:r>
        <w:rPr>
          <w:rFonts w:ascii="Arial" w:cs="Arial" w:eastAsia="Arial" w:hAnsi="Arial"/>
          <w:sz w:val="18"/>
          <w:szCs w:val="18"/>
          <w:b w:val="1"/>
          <w:bCs w:val="1"/>
          <w:color w:val="auto"/>
        </w:rPr>
        <w:t>CARESPEAK COMMUNICATIONS, INC CONSOLIDATED STATEMENTS OF OPERATIONS FOR THE YEARS ENDED DECEMBER 31, 2017 and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For the year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For the 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83"/>
              </w:rPr>
              <w:t>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December 31,</w:t>
            </w:r>
          </w:p>
        </w:tc>
        <w:tc>
          <w:tcPr>
            <w:tcW w:w="120" w:type="dxa"/>
            <w:vAlign w:val="bottom"/>
          </w:tcPr>
          <w:p>
            <w:pPr>
              <w:spacing w:after="0"/>
              <w:rPr>
                <w:sz w:val="19"/>
                <w:szCs w:val="19"/>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800,459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532,599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General &amp; Administrative Expenses</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755,245</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555,311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8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80" w:type="dxa"/>
            <w:vAlign w:val="bottom"/>
          </w:tcPr>
          <w:p>
            <w:pPr>
              <w:spacing w:after="0" w:line="203" w:lineRule="exact"/>
              <w:rPr>
                <w:sz w:val="20"/>
                <w:szCs w:val="20"/>
                <w:color w:val="auto"/>
              </w:rPr>
            </w:pPr>
            <w:r>
              <w:rPr>
                <w:rFonts w:ascii="Arial" w:cs="Arial" w:eastAsia="Arial" w:hAnsi="Arial"/>
                <w:sz w:val="18"/>
                <w:szCs w:val="18"/>
                <w:color w:val="auto"/>
              </w:rPr>
              <w:t>Income (loss) before provision for income taxes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45,217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(22,697)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8580" w:type="dxa"/>
            <w:vAlign w:val="bottom"/>
            <w:vMerge w:val="continue"/>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45,217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(22,697</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Weighted average number of shares outstanding: Basic &amp; Dilutive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Net income per share: Basic &amp; Dilutive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41.60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580" w:type="dxa"/>
            <w:vAlign w:val="bottom"/>
          </w:tcPr>
          <w:p>
            <w:pPr>
              <w:ind w:left="3020"/>
              <w:spacing w:after="0"/>
              <w:rPr>
                <w:sz w:val="20"/>
                <w:szCs w:val="20"/>
                <w:color w:val="auto"/>
              </w:rPr>
            </w:pPr>
            <w:r>
              <w:rPr>
                <w:rFonts w:ascii="Arial" w:cs="Arial" w:eastAsia="Arial" w:hAnsi="Arial"/>
                <w:sz w:val="18"/>
                <w:szCs w:val="18"/>
                <w:color w:val="auto"/>
                <w:w w:val="93"/>
              </w:rPr>
              <w:t>The accompanying notes are an integral part of these financial statements.</w:t>
            </w: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CARESPEAK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 FOR THE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2017 and 2016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Common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Common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Additional</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Stock</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Stock</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Paid-in</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w w:val="99"/>
              </w:rPr>
              <w:t>Accumulated</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Stockholders’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Capital</w:t>
            </w:r>
          </w:p>
        </w:tc>
        <w:tc>
          <w:tcPr>
            <w:tcW w:w="22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Deficit</w:t>
            </w:r>
          </w:p>
        </w:tc>
        <w:tc>
          <w:tcPr>
            <w:tcW w:w="2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351,951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(242,760)</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(22,697)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351,951</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(265,457)</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86,494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Issuance of stock options to employees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4,494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45,217</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45,217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Balance, December 31, 2017</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1,087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356,445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line="256" w:lineRule="exact"/>
              <w:rPr>
                <w:sz w:val="20"/>
                <w:szCs w:val="20"/>
                <w:color w:val="auto"/>
              </w:rPr>
            </w:pPr>
            <w:r>
              <w:rPr>
                <w:rFonts w:ascii="Arial" w:cs="Arial" w:eastAsia="Arial" w:hAnsi="Arial"/>
                <w:sz w:val="16"/>
                <w:szCs w:val="16"/>
                <w:color w:val="auto"/>
              </w:rPr>
              <w:t>(220,240</w:t>
            </w:r>
            <w:r>
              <w:rPr>
                <w:rFonts w:ascii="Arial" w:cs="Arial" w:eastAsia="Arial" w:hAnsi="Arial"/>
                <w:sz w:val="29"/>
                <w:szCs w:val="29"/>
                <w:color w:val="auto"/>
                <w:vertAlign w:val="superscript"/>
              </w:rPr>
              <w:t>)</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136,205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spacing w:after="0" w:line="266" w:lineRule="auto"/>
        <w:rPr>
          <w:sz w:val="20"/>
          <w:szCs w:val="20"/>
          <w:color w:val="auto"/>
        </w:rPr>
      </w:pPr>
      <w:r>
        <w:rPr>
          <w:rFonts w:ascii="Arial" w:cs="Arial" w:eastAsia="Arial" w:hAnsi="Arial"/>
          <w:sz w:val="18"/>
          <w:szCs w:val="18"/>
          <w:b w:val="1"/>
          <w:bCs w:val="1"/>
          <w:color w:val="auto"/>
        </w:rPr>
        <w:t>CARESPEAK COMMUNICATIONS, INC CONSOLIDATED STATEMENTS OF CASH FLOWS FOR THE YEARS ENDED DECEMBER 31, 2017 and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7"/>
          </w:tcPr>
          <w:p>
            <w:pPr>
              <w:jc w:val="center"/>
              <w:ind w:right="360"/>
              <w:spacing w:after="0"/>
              <w:rPr>
                <w:sz w:val="20"/>
                <w:szCs w:val="20"/>
                <w:color w:val="auto"/>
              </w:rPr>
            </w:pPr>
            <w:r>
              <w:rPr>
                <w:rFonts w:ascii="Arial" w:cs="Arial" w:eastAsia="Arial" w:hAnsi="Arial"/>
                <w:sz w:val="18"/>
                <w:szCs w:val="18"/>
                <w:color w:val="auto"/>
                <w:w w:val="86"/>
              </w:rPr>
              <w:t>For the years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left="410"/>
              <w:spacing w:after="0"/>
              <w:rPr>
                <w:sz w:val="20"/>
                <w:szCs w:val="20"/>
                <w:color w:val="auto"/>
              </w:rPr>
            </w:pPr>
            <w:r>
              <w:rPr>
                <w:rFonts w:ascii="Arial" w:cs="Arial" w:eastAsia="Arial" w:hAnsi="Arial"/>
                <w:sz w:val="18"/>
                <w:szCs w:val="18"/>
                <w:color w:val="auto"/>
                <w:w w:val="88"/>
              </w:rPr>
              <w:t>December 31</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 for the period</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45,217</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20"/>
              <w:spacing w:after="0"/>
              <w:rPr>
                <w:sz w:val="20"/>
                <w:szCs w:val="20"/>
                <w:color w:val="auto"/>
              </w:rPr>
            </w:pPr>
            <w:r>
              <w:rPr>
                <w:rFonts w:ascii="Arial" w:cs="Arial" w:eastAsia="Arial" w:hAnsi="Arial"/>
                <w:sz w:val="18"/>
                <w:szCs w:val="18"/>
                <w:color w:val="auto"/>
              </w:rPr>
              <w:t>Stock compensation</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4,494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(112,584)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18,945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assets</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17,011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48,202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revenue</w:t>
            </w:r>
          </w:p>
        </w:tc>
        <w:tc>
          <w:tcPr>
            <w:tcW w:w="1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43,441</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23,772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CASH USED IN OPERATING ACTIVITIES</w:t>
            </w:r>
          </w:p>
        </w:tc>
        <w:tc>
          <w:tcPr>
            <w:tcW w:w="13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(19,221)</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71,551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(19,221)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71,551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BEGINNING OF PERIOD</w:t>
            </w:r>
          </w:p>
        </w:tc>
        <w:tc>
          <w:tcPr>
            <w:tcW w:w="1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154,431</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82,880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CASH AND CASH EQUIVALENTS - END OF PERIOD</w:t>
            </w:r>
          </w:p>
        </w:tc>
        <w:tc>
          <w:tcPr>
            <w:tcW w:w="13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135,210</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154,431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1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top w:val="single" w:sz="8" w:color="CCEEFF"/>
            </w:tcBorders>
          </w:tcPr>
          <w:p>
            <w:pPr>
              <w:ind w:left="160"/>
              <w:spacing w:after="0" w:line="203" w:lineRule="exact"/>
              <w:rPr>
                <w:sz w:val="20"/>
                <w:szCs w:val="20"/>
                <w:color w:val="auto"/>
              </w:rPr>
            </w:pPr>
            <w:r>
              <w:rPr>
                <w:rFonts w:ascii="Arial" w:cs="Arial" w:eastAsia="Arial" w:hAnsi="Arial"/>
                <w:sz w:val="18"/>
                <w:szCs w:val="18"/>
                <w:color w:val="auto"/>
              </w:rPr>
              <w:t>Cash paid for income taxes</w:t>
            </w:r>
          </w:p>
        </w:tc>
        <w:tc>
          <w:tcPr>
            <w:tcW w:w="13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CARESPEAK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CareSpeak Communications, Inc. is a technology solutions company that provides digital messaging services to the healthcare industry. Through its cloud based Mobile Health Messenger (“MHM”) Platforms, the Company provides interactive health messaging for improved medication adherence and care coordination. The Company’s HIPAA-compliant, automated, mobile messaging platforms allows pharmaceutical manufactures and related entities to directly engage with patients to improve regimen compliance.</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was incorporated on February 14, 2006, in the state of New Jersey. On September 28, 2016, the Company acquired 100% of the stock of Vero Simplex D.O.O., a limited liability company located in Zagreb, Croatia. The company name was changed to CareSpeak Communications D.O.O. and operates as a Controlled Foreign Corporation (“CFC”).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financial statements of the Company have been prepared in accordance with generally accepted accounting principles in the United States of America and are presented in US dollars.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Basis</w:t>
      </w:r>
    </w:p>
    <w:p>
      <w:pPr>
        <w:spacing w:after="0" w:line="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Company uses the accrual basis of accounting and accounting principles generally accepted in the United States of America (“GAAP” accounting). The Company has adopted a December 31 fiscal year-end.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ind w:right="340"/>
        <w:spacing w:after="0" w:line="323" w:lineRule="auto"/>
        <w:rPr>
          <w:sz w:val="20"/>
          <w:szCs w:val="20"/>
          <w:color w:val="auto"/>
        </w:rPr>
      </w:pPr>
      <w:r>
        <w:rPr>
          <w:rFonts w:ascii="Arial" w:cs="Arial" w:eastAsia="Arial" w:hAnsi="Arial"/>
          <w:sz w:val="16"/>
          <w:szCs w:val="16"/>
          <w:color w:val="auto"/>
        </w:rPr>
        <w:t>The financial statements reflect the consolidated results of CareSpeak Communications, Inc. (a New Jersey corporation) and its wholly owned subsidiary, CareSpeak Communications D.O.O., a CFC location in Croatia. All material inter-company transactions have been eliminated in the consolidation.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with an initial maturity of three months or less to be cash equivalents.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CARESPEAK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 and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fair value of cash, accounts receivable, prepaid expenses, accounts payable, accrued expenses and deferred revenue approximates the carrying amount of these financial instruments due to their short-term nature.</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are based upon unadjusted quoted prices for identical instruments traded in active markets.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spacing w:after="0" w:line="18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carrying value of the Company’s financial assets and liabilities, which consist of cash, accounts receivable, prepaid expenses, accounts payable, accrued expenses and deferred revenue, are valued using level 1 inputs. The Company believes that the recorded values approximate their fair value due to the short maturity of such instruments. Unless otherwise noted, it is management’s opinion that the Company is not exposed to significant interest, exchange or credit risks arising from these financial instruments.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and Allowance for Doubtful Accounts</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Accounts receivable are reported at realizable value, net of allowances for doubtful accounts, which is estimated and recorded in the period the related revenue is recorded.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Because the Company’s customers are primarily large well-capitalized companies, historically there has been very little bad debt expense. Bad debt expense was $0 for each of the years ended December 31, 2017 and 2016. The allowance for doubtful accounts was $0 as of both December 31, 2017 and 2016.</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CARESPEAK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 and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ind w:right="860"/>
        <w:spacing w:after="0" w:line="290" w:lineRule="auto"/>
        <w:rPr>
          <w:sz w:val="20"/>
          <w:szCs w:val="20"/>
          <w:color w:val="auto"/>
        </w:rPr>
      </w:pPr>
      <w:r>
        <w:rPr>
          <w:rFonts w:ascii="Arial" w:cs="Arial" w:eastAsia="Arial" w:hAnsi="Arial"/>
          <w:sz w:val="17"/>
          <w:szCs w:val="17"/>
          <w:color w:val="auto"/>
        </w:rPr>
        <w:t>Property and equipment are stated at cost and depreciated over their estimated useful lives of three to seven years using the straight-line method of depreciation for book purposes. Maintenance and repairs of property and equipment are charged to operations as incurred.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Revenue is recognized when it is earned. Revenues include project design and implementation fees, annual license fees, on boarding fees and per patient per month (“PPM”) fees.</w:t>
      </w:r>
    </w:p>
    <w:p>
      <w:pPr>
        <w:spacing w:after="0" w:line="18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recognize project design and implementation fees that are required for strategic consulting, program development and pre-launch project management. The revenue for design and implementation fees is recognized as specific milestones are reached over the course of the contract. Once the project has launched customers are charged an annual platform licensing fee which is recognized over the course of the year. These fees are charged quarterly and recognized as recurring monthly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Income taxes are computed using the asset and liability method. Under the asset and liability method, deferred income tax assets and liabilities are determined based on the differences between the financial reporting and tax basis of assets and liabilities and are measured using the currently enacted tax rates and laws. A valuation allowance is provided for the amount of deferred tax assets that, based on available evidence, are not expected to be realized.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carrying value of assets, depreciable and amortizable lives of tangible and intangible assets, the carrying value of liabilities, the amount of revenue to be billed, and the timing of revenue recognition and related revenue share expenses. Actual results could differ from these estimates.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Major Customers</w:t>
      </w:r>
    </w:p>
    <w:p>
      <w:pPr>
        <w:spacing w:after="0" w:line="23"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The Company has five major customers that accounted for approximately 60% and 77% of sales for the years ended December 31, 2017 and 2016,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Major Vendor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one major vendor that accounted for approximately 10% of general and administrative costs for the year ended December 2016.</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CARESPEAK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The Company expenses research and development expenses as incurred. Our research efforts are focused on understanding the market dynamics that have the potential to affect the business and increase revenue in both the short and long term. Our primary goal is to increase revenue by helping patients better understand and adhere to the medicines their doctors prescribe, as well as other healthcare products and services they need. Based on this, the Company continually seeks ways to improve its technology to enhance user experiences, and to develop new services and solutions for its customers.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Share-based Payments</w:t>
      </w:r>
    </w:p>
    <w:p>
      <w:pPr>
        <w:spacing w:after="0" w:line="2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Company uses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 Options are estimated using a combination of pricing models including the Discounted Future Benefits Method, Guideline Public Company Method and Guideline Company Transactions Method that uses the assumptions noted in the following table. These values were weighted and discounted based on lack of marketability and lack of control. Estimated volatilities are based on the historical volatility of the annualized daily returns observed over the period from company inception up to the grant date. The expected term of options granted represents the period of time that options granted are expected to be outstanding. The Company uses historical data to estimate option exercise behavior and to determine this term. The risk-free rate used is based on the U.S. Treasury yield curve in effect at the time of the grant using a time period equal to the expected option term. The Company has never paid dividends and does not expect to pay any dividends in the future.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010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1.62% - 1.73%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term</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Turnover/forfeiture rate</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 - 62%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valuation models were developed for use in estimating the fair value of options for private companies. These methods value the company based on the pricing multiples observed for similar companies that were sold or are traded. These option valuation models require the input of, and are highly sensitive to, subjective assumptions including the expected volatility. CaresSpeak Communications, Inc.’s stock options have characteristics significantly different from those of traded options, and changes in the subjective input assumptions could materially affect the fair value estimate.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(Loss) Per Common Shares</w:t>
      </w:r>
    </w:p>
    <w:p>
      <w:pPr>
        <w:spacing w:after="0" w:line="23"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computation of basic earnings (loss)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options during the year. The number of common shares potentially issuable upon exercise of certain options that were excluded from the diluted earnings (loss) common share calculation was approximately 130.5, because they are anti-dilutive as a result of the exercise price exceeding the estimated fair value at December 31, 2017.</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CARESPEAK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operations, financial position or cash flow.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NOTE 3 – PROPERTY AND EQUIPMENT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w w:val="91"/>
              </w:rPr>
              <w:t>The Company owned equipment recorded at cost which consisted of the following as of December 31, 2017 and 2016:</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6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Office equipment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10,515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10,515</w:t>
            </w: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w:t>
            </w: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Subtotal</w:t>
            </w: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25,221</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25,221</w:t>
            </w:r>
          </w:p>
        </w:tc>
        <w:tc>
          <w:tcPr>
            <w:tcW w:w="100" w:type="dxa"/>
            <w:vAlign w:val="bottom"/>
            <w:tcBorders>
              <w:top w:val="single" w:sz="8" w:color="CCEEFF"/>
            </w:tcBorders>
          </w:tcPr>
          <w:p>
            <w:pPr>
              <w:spacing w:after="0"/>
              <w:rPr>
                <w:sz w:val="17"/>
                <w:szCs w:val="17"/>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(22,738)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(20,638)</w:t>
            </w:r>
          </w:p>
        </w:tc>
      </w:tr>
      <w:tr>
        <w:trPr>
          <w:trHeight w:val="210"/>
        </w:trPr>
        <w:tc>
          <w:tcPr>
            <w:tcW w:w="86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Property and equipment, net</w:t>
            </w: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2,483</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4,583</w:t>
            </w:r>
          </w:p>
        </w:tc>
        <w:tc>
          <w:tcPr>
            <w:tcW w:w="100" w:type="dxa"/>
            <w:vAlign w:val="bottom"/>
            <w:tcBorders>
              <w:top w:val="single" w:sz="8" w:color="CCEEFF"/>
            </w:tcBorders>
          </w:tcPr>
          <w:p>
            <w:pPr>
              <w:spacing w:after="0"/>
              <w:rPr>
                <w:sz w:val="18"/>
                <w:szCs w:val="18"/>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w w:val="98"/>
              </w:rPr>
              <w:t>Depreciation expense was $2,100 and $2,860 for the years ended December 31, 2017 and 2016, respectively.</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NOTE 4 – ACCOUNTS PAYABLE &amp; ACCRUED LIABILITIES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The company accrued expenses consisted of the following at December 31, 2018 and 2017, respectively.</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6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Pension liability</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22,079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10,327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Payroll and payroll tax payable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1,623</w:t>
            </w: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45,929</w:t>
            </w: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74,890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CARESPEAK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5 – DEFERRED REVENUE</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has several signed contracts with customers for services, which include payment in advance. The payments are not recorded as revenue until the revenue is earned under its revenue recognition policy discussed in Note 2. Deferred revenue was $74,880 and $31,439 as of December 31, 2017 and 2016,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6 – COMMON STOCK</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had 200,000 shares of common stock, with no par value per share, authorized as of December 31, 2017 and 2016. There were 1,087 shares of common stock issued and outstanding at December 31, 2017 and 2016. There were no issuances of common stock during the years ended December 31, 2017 and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7 – STOCK OPTIONS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sponsors a stock-based incentive compensation plan known as the 2009 Equity Compensation Plan (the “Plan”), which was established by the Board of Directors of the Company in July of 2009. A total of 200,000 shares were initially available for issuance under the Plan. A total of 130.5 options have been granted and remain outstanding at December 31, 2017. The Company has 199,869.5 shares available to grant under the Plan at December 31, 2017, limited to 198,783 by the total number of authorized shares of 200,000 and current outstanding shares of 1,087.</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Plan allows the Company to grant incentive stock options, nonqualified stock options, option awards, stock units, stock appreciation rights and other equity-based awards. The incentive stock options are exercisable for up to ten years, at an option price per share not less than the fair market value on the date the option is granted. The incentive stock options are limited to persons who are regular full-time employees of the Company at the date of the grant of the option. Options granted to persons who are non-exempt employees may not be exercisable for at least six months after that the date of the grant. Non-qualified options may be granted to employees, non-employee directors and key advisors. The Plan provides for accelerated vesting of unvested options if there is a change in control, as defined in the Plan.</w:t>
      </w:r>
    </w:p>
    <w:p>
      <w:pPr>
        <w:spacing w:after="0" w:line="193" w:lineRule="exact"/>
        <w:rPr>
          <w:sz w:val="20"/>
          <w:szCs w:val="20"/>
          <w:color w:val="auto"/>
        </w:rPr>
      </w:pPr>
    </w:p>
    <w:p>
      <w:pPr>
        <w:jc w:val="both"/>
        <w:ind w:right="660"/>
        <w:spacing w:after="0" w:line="264" w:lineRule="auto"/>
        <w:rPr>
          <w:sz w:val="20"/>
          <w:szCs w:val="20"/>
          <w:color w:val="auto"/>
        </w:rPr>
      </w:pPr>
      <w:r>
        <w:rPr>
          <w:rFonts w:ascii="Arial" w:cs="Arial" w:eastAsia="Arial" w:hAnsi="Arial"/>
          <w:sz w:val="18"/>
          <w:szCs w:val="18"/>
          <w:color w:val="auto"/>
        </w:rPr>
        <w:t>The compensation cost that has been charged against income related to options for the years ended December 31, 2017 and 2016, was $4,494 and $0, respectively. No income tax benefit was recognized in the income statement and no compensation was capitalized in any of the years presented. The remaining expense to be recognized at December 31, 2017 was $12,071.</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The Company had the following option activity during the years ended December 31, 2017 and 2016:</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r>
      <w:tr>
        <w:trPr>
          <w:trHeight w:val="216"/>
        </w:trPr>
        <w:tc>
          <w:tcPr>
            <w:tcW w:w="394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average</w:t>
            </w:r>
          </w:p>
        </w:tc>
      </w:tr>
      <w:tr>
        <w:trPr>
          <w:trHeight w:val="237"/>
        </w:trPr>
        <w:tc>
          <w:tcPr>
            <w:tcW w:w="394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exercise price</w:t>
            </w:r>
          </w:p>
        </w:tc>
      </w:tr>
      <w:tr>
        <w:trPr>
          <w:trHeight w:val="216"/>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 2016</w:t>
            </w:r>
          </w:p>
        </w:tc>
        <w:tc>
          <w:tcPr>
            <w:tcW w:w="48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Granted - 2016</w:t>
            </w:r>
          </w:p>
        </w:tc>
        <w:tc>
          <w:tcPr>
            <w:tcW w:w="6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Exercised - 2016</w:t>
            </w:r>
          </w:p>
        </w:tc>
        <w:tc>
          <w:tcPr>
            <w:tcW w:w="6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3940" w:type="dxa"/>
            <w:vAlign w:val="bottom"/>
          </w:tcPr>
          <w:p>
            <w:pPr>
              <w:spacing w:after="0"/>
              <w:rPr>
                <w:sz w:val="20"/>
                <w:szCs w:val="20"/>
                <w:color w:val="auto"/>
              </w:rPr>
            </w:pPr>
            <w:r>
              <w:rPr>
                <w:rFonts w:ascii="Arial" w:cs="Arial" w:eastAsia="Arial" w:hAnsi="Arial"/>
                <w:sz w:val="18"/>
                <w:szCs w:val="18"/>
                <w:color w:val="auto"/>
              </w:rPr>
              <w:t>Expired - 2016</w:t>
            </w:r>
          </w:p>
        </w:tc>
        <w:tc>
          <w:tcPr>
            <w:tcW w:w="6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December 31, 2016</w:t>
            </w:r>
          </w:p>
        </w:tc>
        <w:tc>
          <w:tcPr>
            <w:tcW w:w="48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Granted - 2017</w:t>
            </w:r>
          </w:p>
        </w:tc>
        <w:tc>
          <w:tcPr>
            <w:tcW w:w="6120" w:type="dxa"/>
            <w:vAlign w:val="bottom"/>
            <w:gridSpan w:val="3"/>
          </w:tcPr>
          <w:p>
            <w:pPr>
              <w:jc w:val="right"/>
              <w:ind w:right="10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1,831</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Exercised - 2017</w:t>
            </w:r>
          </w:p>
        </w:tc>
        <w:tc>
          <w:tcPr>
            <w:tcW w:w="6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3940" w:type="dxa"/>
            <w:vAlign w:val="bottom"/>
          </w:tcPr>
          <w:p>
            <w:pPr>
              <w:spacing w:after="0"/>
              <w:rPr>
                <w:sz w:val="20"/>
                <w:szCs w:val="20"/>
                <w:color w:val="auto"/>
              </w:rPr>
            </w:pPr>
            <w:r>
              <w:rPr>
                <w:rFonts w:ascii="Arial" w:cs="Arial" w:eastAsia="Arial" w:hAnsi="Arial"/>
                <w:sz w:val="18"/>
                <w:szCs w:val="18"/>
                <w:color w:val="auto"/>
              </w:rPr>
              <w:t>Expired - 2017</w:t>
            </w:r>
          </w:p>
        </w:tc>
        <w:tc>
          <w:tcPr>
            <w:tcW w:w="6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39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December 31, 2017</w:t>
            </w:r>
          </w:p>
        </w:tc>
        <w:tc>
          <w:tcPr>
            <w:tcW w:w="488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669"/>
        </w:trPr>
        <w:tc>
          <w:tcPr>
            <w:tcW w:w="394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jc w:val="right"/>
              <w:ind w:right="2907"/>
              <w:spacing w:after="0"/>
              <w:rPr>
                <w:sz w:val="20"/>
                <w:szCs w:val="20"/>
                <w:color w:val="auto"/>
              </w:rPr>
            </w:pPr>
            <w:r>
              <w:rPr>
                <w:rFonts w:ascii="Arial" w:cs="Arial" w:eastAsia="Arial" w:hAnsi="Arial"/>
                <w:sz w:val="22"/>
                <w:szCs w:val="22"/>
                <w:color w:val="auto"/>
              </w:rPr>
              <w:t>10</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CARESPEAK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8 – OPERATING LEASES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has a short-term lease on shared office space in Somerset, New Jersey expiring March 31, 2018. The lease is a twelve-month lease calling for twelve monthly payments of $700.</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also has a short-term lease on an office space in Zagreb, Croatia expiring July 4, 2018. The lease is a twelve-month lease calling for twelve monthly payments of 550 €, approximate $630 USD.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9 – MAJOR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major customers that individually accounted for 10% or more of revenue in any one of the years presented: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Percentage</w:t>
            </w:r>
          </w:p>
        </w:tc>
        <w:tc>
          <w:tcPr>
            <w:tcW w:w="2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Percentage</w:t>
            </w:r>
          </w:p>
        </w:tc>
        <w:tc>
          <w:tcPr>
            <w:tcW w:w="160" w:type="dxa"/>
            <w:vAlign w:val="bottom"/>
            <w:tcBorders>
              <w:bottom w:val="single" w:sz="8" w:color="CCEEFF"/>
            </w:tcBorders>
          </w:tcPr>
          <w:p>
            <w:pPr>
              <w:spacing w:after="0"/>
              <w:rPr>
                <w:sz w:val="20"/>
                <w:szCs w:val="20"/>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121,000</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Customer B</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101,000</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171,000</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Customer D</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95,000</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Customer 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Customer F</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109,000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Customer 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153,000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10 – INCOME TAXES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2017, the Company had net operating loss carry forwards of approximately $47,000 that expire in 2034 that are available to offset future taxable income. In the future, the cumulative net operating loss carry-forward for income tax purposes may differ from the cumulative financial statement loss due to timing differences between book and tax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tcPr>
          <w:p>
            <w:pPr>
              <w:spacing w:after="0"/>
              <w:rPr>
                <w:sz w:val="20"/>
                <w:szCs w:val="20"/>
                <w:color w:val="auto"/>
              </w:rPr>
            </w:pPr>
            <w:r>
              <w:rPr>
                <w:rFonts w:ascii="Arial" w:cs="Arial" w:eastAsia="Arial" w:hAnsi="Arial"/>
                <w:sz w:val="18"/>
                <w:szCs w:val="18"/>
                <w:color w:val="auto"/>
                <w:w w:val="94"/>
              </w:rPr>
              <w:t>The provision for Federal income tax consists of the following for the years ended December 31, 2017 and 2016:</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Federal income tax benefit (expense) attributable to:</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operations</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Permanent and timing differences (net)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R&amp;D credit</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12,000</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Tax rate change</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(25,000)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vMerge w:val="restart"/>
          </w:tcPr>
          <w:p>
            <w:pPr>
              <w:ind w:left="340"/>
              <w:spacing w:after="0"/>
              <w:rPr>
                <w:sz w:val="20"/>
                <w:szCs w:val="20"/>
                <w:color w:val="auto"/>
              </w:rPr>
            </w:pPr>
            <w:r>
              <w:rPr>
                <w:rFonts w:ascii="Arial" w:cs="Arial" w:eastAsia="Arial" w:hAnsi="Arial"/>
                <w:sz w:val="18"/>
                <w:szCs w:val="18"/>
                <w:color w:val="auto"/>
              </w:rPr>
              <w:t>Net provision for federal income tax</w:t>
            </w: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80" w:type="dxa"/>
            <w:vAlign w:val="bottom"/>
            <w:vMerge w:val="continue"/>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CARESPEAK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10 – INCOME TAXES (CONTINUED)</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cumulative tax effect at the expected rate of 34%, as of December 31, 2016, and 21% as of December 31, 2017, of significant items comprising our net deferred tax amount is as follows as of December 31, 2017 and 2016: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Deferred tax asset attributable to:</w:t>
            </w:r>
          </w:p>
        </w:tc>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 carryover</w:t>
            </w:r>
          </w:p>
        </w:tc>
        <w:tc>
          <w:tcPr>
            <w:tcW w:w="3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58,000</w:t>
            </w: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compensation</w:t>
            </w:r>
          </w:p>
        </w:tc>
        <w:tc>
          <w:tcPr>
            <w:tcW w:w="3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R&amp;D credit</w:t>
            </w: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47,000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3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(89,000)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(116,000)</w:t>
            </w:r>
          </w:p>
        </w:tc>
        <w:tc>
          <w:tcPr>
            <w:tcW w:w="0" w:type="dxa"/>
            <w:vAlign w:val="bottom"/>
          </w:tcPr>
          <w:p>
            <w:pPr>
              <w:spacing w:after="0"/>
              <w:rPr>
                <w:sz w:val="1"/>
                <w:szCs w:val="1"/>
                <w:color w:val="auto"/>
              </w:rPr>
            </w:pPr>
          </w:p>
        </w:tc>
      </w:tr>
      <w:tr>
        <w:trPr>
          <w:trHeight w:val="27"/>
        </w:trPr>
        <w:tc>
          <w:tcPr>
            <w:tcW w:w="562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Net deferred tax asset</w:t>
            </w:r>
          </w:p>
        </w:tc>
        <w:tc>
          <w:tcPr>
            <w:tcW w:w="3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vMerge w:val="continue"/>
            <w:shd w:val="clear" w:color="auto" w:fill="CCEEFF"/>
          </w:tcPr>
          <w:p>
            <w:pPr>
              <w:spacing w:after="0"/>
              <w:rPr>
                <w:sz w:val="21"/>
                <w:szCs w:val="21"/>
                <w:color w:val="auto"/>
              </w:rPr>
            </w:pPr>
          </w:p>
        </w:tc>
        <w:tc>
          <w:tcPr>
            <w:tcW w:w="3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56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Under certain circumstances issuance of common shares can result in an ownership change under Internal Revenue Code Section 382 which limits the Company’s ability to utilize carry forwards from prior to the ownership change. Any such ownership change resulting from stock issuances and redemptions could limit the Company’s ability to utilize any net operating loss carry forwards or credits generated before this change in ownership. These limitations can limit both the timing of usage of these laws, as well as the loss of the ability to use these net operating losses. The sale of the Company in October 2018 resulted in such an ownership change.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11 – RETIREMENT PLAN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offers Simplified Employee Pension-Individual Retirement Accounts Contribution Agreement for the benefit of all employees who have provided services for at least three years and are at least 21 years of age. The employer agrees to provide discretionary contributions each calendar year to the individual retirement account or individual retirement annuity (IRA) of each qualified employee. The plan was adopted in 2017. There was expense of $41,998 and $0 recorded in 2017 and 2016,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12 – BUSINESS COMBINATION</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On September 28, 2016, the Company acquired 100% of the stock of Vero Simplex, d.o.o. and limited liability company registered in Zagreb, Croatia for a purchase price of, 20,000 HRK, approximately $3,100 USD. No significant liabilities were acquired, and no goodwill was recorded.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13 – RELATED PARTY TRANSACTION</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purchased Vero Simplex, d.o.o. which was owned by the majority shareholder of CareSpeak Communications, Inc. The purchase price was equal to the initial capital contribution made by the majority shareholder.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14 – SUBSEQUENT EVENTS</w:t>
      </w:r>
    </w:p>
    <w:p>
      <w:pPr>
        <w:spacing w:after="0" w:line="225" w:lineRule="exact"/>
        <w:rPr>
          <w:sz w:val="20"/>
          <w:szCs w:val="20"/>
          <w:color w:val="auto"/>
        </w:rPr>
      </w:pPr>
    </w:p>
    <w:p>
      <w:pPr>
        <w:jc w:val="both"/>
        <w:ind w:right="840"/>
        <w:spacing w:after="0" w:line="312" w:lineRule="auto"/>
        <w:rPr>
          <w:sz w:val="20"/>
          <w:szCs w:val="20"/>
          <w:color w:val="auto"/>
        </w:rPr>
      </w:pPr>
      <w:r>
        <w:rPr>
          <w:rFonts w:ascii="Arial" w:cs="Arial" w:eastAsia="Arial" w:hAnsi="Arial"/>
          <w:sz w:val="16"/>
          <w:szCs w:val="16"/>
          <w:color w:val="auto"/>
        </w:rPr>
        <w:t>On October 17, 2018 100% of the stock of the Company was purchased by OptimizeRx Corporation, a Nevada corporation. All Company Options outstanding immediately prior to the effective time of the Closing were cancelled. All Option holders received consideration for the cancellation in accordance with the Stock Purchase Agreement by and Among CareSpeak Communications, Inc. and OptimizeRx Corporation.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99.3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included are as follows:</w:t>
      </w:r>
    </w:p>
    <w:p>
      <w:pPr>
        <w:spacing w:after="0" w:line="225" w:lineRule="exact"/>
        <w:rPr>
          <w:sz w:val="20"/>
          <w:szCs w:val="20"/>
          <w:color w:val="auto"/>
        </w:rPr>
      </w:pPr>
    </w:p>
    <w:p>
      <w:pPr>
        <w:ind w:right="2120"/>
        <w:spacing w:after="0" w:line="259" w:lineRule="auto"/>
        <w:rPr>
          <w:sz w:val="20"/>
          <w:szCs w:val="20"/>
          <w:color w:val="auto"/>
        </w:rPr>
      </w:pPr>
      <w:r>
        <w:rPr>
          <w:rFonts w:ascii="Arial" w:cs="Arial" w:eastAsia="Arial" w:hAnsi="Arial"/>
          <w:sz w:val="18"/>
          <w:szCs w:val="18"/>
          <w:color w:val="auto"/>
        </w:rPr>
        <w:t>F-1 Condensed Consolidated Balance Sheets as of September 30, 2018 (unaudited) and December 31, 2017; F-2 Condensed Consolidated Statements of Operations for the nine months ended September 30, 2018 and 2017 (unaudited); F-3 Condensed Consolidated Statements of Cash Flow for the nine months ended September 30, 2018 and 2017 (unaudited); F-4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of America for interim financial information and the SEC instructions to Form 10-Q. In the opinion of management, all adjustments considered necessary for a fair presentation have been included. Operating results for the interim period ended September 30, 2018 are not necessarily indicative of the results that can be expected for the full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jc w:val="center"/>
        <w:ind w:left="260" w:right="2800"/>
        <w:spacing w:after="0" w:line="266" w:lineRule="auto"/>
        <w:rPr>
          <w:sz w:val="20"/>
          <w:szCs w:val="20"/>
          <w:color w:val="auto"/>
        </w:rPr>
      </w:pPr>
      <w:r>
        <w:rPr>
          <w:rFonts w:ascii="Arial" w:cs="Arial" w:eastAsia="Arial" w:hAnsi="Arial"/>
          <w:sz w:val="18"/>
          <w:szCs w:val="18"/>
          <w:b w:val="1"/>
          <w:bCs w:val="1"/>
          <w:color w:val="auto"/>
        </w:rPr>
        <w:t>CARESPEAK COMMUNICATIONS, INC. CONDENSED CONSOLIDATED BALANCE SHEETS AS OF SEPTEMBER 30, 2018 (UNAUDITED) AND DECEMBER 31,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September 30,</w:t>
            </w:r>
          </w:p>
        </w:tc>
        <w:tc>
          <w:tcPr>
            <w:tcW w:w="8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40" w:type="dxa"/>
            <w:vAlign w:val="bottom"/>
          </w:tcPr>
          <w:p>
            <w:pPr>
              <w:ind w:left="4000"/>
              <w:spacing w:after="0" w:line="201" w:lineRule="exact"/>
              <w:rPr>
                <w:sz w:val="20"/>
                <w:szCs w:val="20"/>
                <w:color w:val="auto"/>
              </w:rPr>
            </w:pPr>
            <w:r>
              <w:rPr>
                <w:rFonts w:ascii="Arial" w:cs="Arial" w:eastAsia="Arial" w:hAnsi="Arial"/>
                <w:sz w:val="18"/>
                <w:szCs w:val="18"/>
                <w:b w:val="1"/>
                <w:bCs w:val="1"/>
                <w:color w:val="auto"/>
              </w:rPr>
              <w:t>ASSETS</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295,596</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134,446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129,382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4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83,654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18,900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513,696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Property and equipment, net</w:t>
            </w: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3,340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2,483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517,036</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285,975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2360"/>
              <w:spacing w:after="0"/>
              <w:rPr>
                <w:sz w:val="20"/>
                <w:szCs w:val="20"/>
                <w:color w:val="auto"/>
              </w:rPr>
            </w:pPr>
            <w:r>
              <w:rPr>
                <w:rFonts w:ascii="Arial" w:cs="Arial" w:eastAsia="Arial" w:hAnsi="Arial"/>
                <w:sz w:val="18"/>
                <w:szCs w:val="18"/>
                <w:b w:val="1"/>
                <w:bCs w:val="1"/>
                <w:color w:val="auto"/>
              </w:rPr>
              <w:t>LIABILITIES AND STOCKHOLDERS' EQUITY</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Current Liabilities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 trade</w:t>
            </w: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760</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106,387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74,890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70,988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Liabilities</w:t>
            </w:r>
          </w:p>
        </w:tc>
        <w:tc>
          <w:tcPr>
            <w:tcW w:w="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178,135</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149,770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Stockholders' Equity</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Common stock, with no par value, 200,000 authorized and 1,087 shares issued and outstanding at September 30, 2018</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and December 31, 2017</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360,099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356,445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(21,198)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(220,240)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Stockholders' Equity</w:t>
            </w:r>
          </w:p>
        </w:tc>
        <w:tc>
          <w:tcPr>
            <w:tcW w:w="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338,901</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136,205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517,036</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285,975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jc w:val="center"/>
        <w:spacing w:after="0" w:line="266" w:lineRule="auto"/>
        <w:rPr>
          <w:sz w:val="20"/>
          <w:szCs w:val="20"/>
          <w:color w:val="auto"/>
        </w:rPr>
      </w:pPr>
      <w:r>
        <w:rPr>
          <w:rFonts w:ascii="Arial" w:cs="Arial" w:eastAsia="Arial" w:hAnsi="Arial"/>
          <w:sz w:val="18"/>
          <w:szCs w:val="18"/>
          <w:b w:val="1"/>
          <w:bCs w:val="1"/>
          <w:color w:val="auto"/>
        </w:rPr>
        <w:t>CARESPEAK COMMUNICATIONS, INC. CONDENSED CONSOLIDATED STATEMENTS OF OPERATIONS (UNAUDITED) FOR THE NINE MONTHS ENDED SEPTEMBER 30, 2018 AND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w w:val="89"/>
              </w:rPr>
              <w:t>September 30,</w:t>
            </w:r>
          </w:p>
        </w:tc>
        <w:tc>
          <w:tcPr>
            <w:tcW w:w="120" w:type="dxa"/>
            <w:vAlign w:val="bottom"/>
          </w:tcPr>
          <w:p>
            <w:pPr>
              <w:spacing w:after="0"/>
              <w:rPr>
                <w:sz w:val="19"/>
                <w:szCs w:val="19"/>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w w:val="89"/>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0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906,599</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451,590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General &amp; Administrative Expenses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707,559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486,264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(34,673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5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INCOME</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80" w:type="dxa"/>
            <w:vAlign w:val="bottom"/>
          </w:tcPr>
          <w:p>
            <w:pPr>
              <w:ind w:left="180"/>
              <w:spacing w:after="0" w:line="203" w:lineRule="exact"/>
              <w:rPr>
                <w:sz w:val="20"/>
                <w:szCs w:val="20"/>
                <w:color w:val="auto"/>
              </w:rPr>
            </w:pPr>
            <w:r>
              <w:rPr>
                <w:rFonts w:ascii="Arial" w:cs="Arial" w:eastAsia="Arial" w:hAnsi="Arial"/>
                <w:sz w:val="18"/>
                <w:szCs w:val="18"/>
                <w:color w:val="auto"/>
              </w:rPr>
              <w:t>INCOME BEFORE PROVISION FOR INCOME TAXES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199,042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(34,671)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8580" w:type="dxa"/>
            <w:vAlign w:val="bottom"/>
            <w:vMerge w:val="continue"/>
          </w:tcPr>
          <w:p>
            <w:pPr>
              <w:spacing w:after="0"/>
              <w:rPr>
                <w:sz w:val="24"/>
                <w:szCs w:val="24"/>
                <w:color w:val="auto"/>
              </w:rPr>
            </w:pP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199,042</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(34,671</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BASIC &amp; DILUTIVE</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BASIC &amp; DILUTIVE</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183.11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580" w:type="dxa"/>
            <w:vAlign w:val="bottom"/>
          </w:tcPr>
          <w:p>
            <w:pPr>
              <w:ind w:left="3020"/>
              <w:spacing w:after="0"/>
              <w:rPr>
                <w:sz w:val="20"/>
                <w:szCs w:val="20"/>
                <w:color w:val="auto"/>
              </w:rPr>
            </w:pPr>
            <w:r>
              <w:rPr>
                <w:rFonts w:ascii="Arial" w:cs="Arial" w:eastAsia="Arial" w:hAnsi="Arial"/>
                <w:sz w:val="18"/>
                <w:szCs w:val="18"/>
                <w:color w:val="auto"/>
                <w:w w:val="93"/>
              </w:rPr>
              <w:t>The accompanying notes are an integral part of these financial statements.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CARESPEAK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2018 AND 2017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40" w:type="dxa"/>
            <w:vAlign w:val="bottom"/>
            <w:gridSpan w:val="6"/>
          </w:tcPr>
          <w:p>
            <w:pPr>
              <w:jc w:val="right"/>
              <w:ind w:right="360"/>
              <w:spacing w:after="0"/>
              <w:rPr>
                <w:sz w:val="20"/>
                <w:szCs w:val="20"/>
                <w:color w:val="auto"/>
              </w:rPr>
            </w:pPr>
            <w:r>
              <w:rPr>
                <w:rFonts w:ascii="Arial" w:cs="Arial" w:eastAsia="Arial" w:hAnsi="Arial"/>
                <w:sz w:val="18"/>
                <w:szCs w:val="18"/>
                <w:color w:val="auto"/>
                <w:w w:val="93"/>
              </w:rPr>
              <w:t>For the 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6"/>
          </w:tcPr>
          <w:p>
            <w:pPr>
              <w:jc w:val="right"/>
              <w:ind w:right="84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for the period</w:t>
            </w: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199,042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Arial" w:cs="Arial" w:eastAsia="Arial" w:hAnsi="Arial"/>
                <w:sz w:val="18"/>
                <w:szCs w:val="18"/>
                <w:color w:val="auto"/>
              </w:rPr>
              <w:t>Stock compensation</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3,654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(5,063)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assets</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(64,754)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760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expenses</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(17,083)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4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(3,892)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163,394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(3,008)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160,386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BEGINNING OF PERIOD</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135,210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CASH AND CASH EQUIVALENTS - END OF PERIOD</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295,596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138,268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Cash paid for income taxes</w:t>
            </w: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color w:val="auto"/>
        </w:rPr>
        <w:t>CARESPEAK COMMUNICATIONS,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 AND BASIS OF PRESENTATION</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CareSpeak Communications, Inc. is a technology solutions company that provides digital messaging services to the healthcare industry. Through its cloud based Mobile Health Messenger (“MHM”) Platorm, the Company provides interactive health messaging for improved medication adherence and care coordination. The Company’s HIPAA-compliant, automated, mobile messaging platforms allows pharmaceutical manufactures and related entities to directly engage with patients to improve regimen compliance.</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consolidated financial statements for the nine months ended September 30, 2018 and 2017, have been prepared by us without audit pursuant to the rules and regulations of the Securities and Exchange Commission (“SEC”). In the opinion of management, all adjustments necessary to present fairly our financial position, results of operations, and cash flows as of September 30, 2018 and 2017, and for the periods then ended, have been made. Those adjustments consist of normal and recurring adjustments. The consolidated balance sheet as of December 31, 2017, has been derived from the audited consolidated balance sheet as of that date. Certain items in the 2017 financial statements have been reclassified to conform with the 2018 presentation.</w:t>
      </w:r>
    </w:p>
    <w:p>
      <w:pPr>
        <w:spacing w:after="0" w:line="15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Certain information and note disclosures normally included in our annual financial statements prepared in accordance with generally accepted accounting principles have been condensed or omitted. These consolidated financial statements should be read in conjunction with a reading of the financial statements and notes thereto included as exhibit 99.1 to this Form 8K.</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results of operations for the nine months ended September 30, 2018, are not necessarily indicative of the results to be expected for the full year. Certain reclassifications have been made in our consolidated financial statements for the prior periods to conform to the presentation of our consolidated financial statements for the current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2 – NEW FINANCIAL ACCOUNTING STANDARDS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On January 1, 2018, we adopted the new accounting standard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all of the related amendments (“new revenue standard”). Adoption of this new standard had no impact on our financial statements.</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3" w:name="page24"/>
    <w:bookmarkEnd w:id="23"/>
    <w:p>
      <w:pPr>
        <w:jc w:val="center"/>
        <w:ind w:right="-239"/>
        <w:spacing w:after="0"/>
        <w:rPr>
          <w:sz w:val="20"/>
          <w:szCs w:val="20"/>
          <w:color w:val="auto"/>
        </w:rPr>
      </w:pPr>
      <w:r>
        <w:rPr>
          <w:rFonts w:ascii="Arial" w:cs="Arial" w:eastAsia="Arial" w:hAnsi="Arial"/>
          <w:sz w:val="18"/>
          <w:szCs w:val="18"/>
          <w:b w:val="1"/>
          <w:bCs w:val="1"/>
          <w:color w:val="auto"/>
        </w:rPr>
        <w:t>CARESPEAK COMMUNICATIONS,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SEPTEMBER 30,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3 – STOCKHOLDERS’ EQUITY AND SHARE BASED PAYMENTS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issued no equity in either the nine months ended September 30, 2018, or 2017. We did issue options in 2017.</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use the fair value method to account for stock-based compensation. We recorded $3,654 and $3,358 in compensation expense in the nine months ended September 30, 2018 and 2017, respectively, related to options issued under our stock-based incentive compensation plan. This includes expense related to options issued in prior years for which the requisite service period for those options includes the current year, and options granted in the current year. The assumptions used in this model were similar to the assumptions set forth in our annual financial statements for 2017 attached as exhibit 99.1 to this Current Report on Form 8-K related to grants in 2017. There is $8,417 of remaining expense related to unvested options to be recognized in the future.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 4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involved in any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5 – SUBSEQUENT EVENTS</w:t>
      </w:r>
    </w:p>
    <w:p>
      <w:pPr>
        <w:spacing w:after="0" w:line="225" w:lineRule="exact"/>
        <w:rPr>
          <w:sz w:val="20"/>
          <w:szCs w:val="20"/>
          <w:color w:val="auto"/>
        </w:rPr>
      </w:pPr>
    </w:p>
    <w:p>
      <w:pPr>
        <w:jc w:val="both"/>
        <w:ind w:right="560"/>
        <w:spacing w:after="0" w:line="312" w:lineRule="auto"/>
        <w:rPr>
          <w:sz w:val="20"/>
          <w:szCs w:val="20"/>
          <w:color w:val="auto"/>
        </w:rPr>
      </w:pPr>
      <w:r>
        <w:rPr>
          <w:rFonts w:ascii="Arial" w:cs="Arial" w:eastAsia="Arial" w:hAnsi="Arial"/>
          <w:sz w:val="16"/>
          <w:szCs w:val="16"/>
          <w:color w:val="auto"/>
        </w:rPr>
        <w:t>On October 17, 2018, 100% of the stock of the Company was purchased by OptimizeRx Corporation, a Nevada corporation. All Company Options outstanding immediately prior to the effective time of the Closing were cancelled. All Option holders received consideration for the cancellation in accordance with the Stock Purchase Agreement by and Among CareSpeak Communications, Inc. and OptimizeRx Corporation.</w:t>
      </w:r>
    </w:p>
    <w:p>
      <w:pPr>
        <w:spacing w:after="0" w:line="356"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240" w:top="904" w:right="479" w:bottom="1440" w:gutter="0" w:footer="0" w:header="0"/>
        </w:sectPr>
      </w:pPr>
    </w:p>
    <w:bookmarkStart w:id="24" w:name="page25"/>
    <w:bookmarkEnd w:id="24"/>
    <w:p>
      <w:pPr>
        <w:jc w:val="right"/>
        <w:spacing w:after="0"/>
        <w:rPr>
          <w:sz w:val="20"/>
          <w:szCs w:val="20"/>
          <w:color w:val="auto"/>
        </w:rPr>
      </w:pPr>
      <w:r>
        <w:rPr>
          <w:rFonts w:ascii="Arial" w:cs="Arial" w:eastAsia="Arial" w:hAnsi="Arial"/>
          <w:sz w:val="22"/>
          <w:szCs w:val="22"/>
          <w:b w:val="1"/>
          <w:bCs w:val="1"/>
          <w:color w:val="auto"/>
        </w:rPr>
        <w:t>Exhibit 99.4</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 Pro Forma Combined Financial Information</w:t>
      </w:r>
    </w:p>
    <w:p>
      <w:pPr>
        <w:spacing w:after="0" w:line="21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following unaudited pro forma combined financial information of OptimizeRx Corporation, (“Company”) is presented to reflect the acquisition (“Acquisition”) by the Company of all the issued and outstanding shares of CareSpeak Communications, Inc. (“CareSpeak”). The Acquisition was consummated on October 17, 2018. The unaudited pro forma combined balance sheet of the Company at September 30, 2018 reflects the effects of the Acquisition as if it occurred on such date. The unaudited pro forma combined statements of operations for the nine months ended September 30, 2018 and the year ended December 31, 2017 reflect the effects of the Acquisition as if it occurred at the beginning of each period presented. The unaudited pro forma financial information is based on the historical consolidated financial statements of the Company and CareSpeak. The historical financial information of CareSpeak includes the financial information of CareSpeak Communications, Inc. and CareSpeak Communications, d.o.o. (“CareSpeak Croatia”) as CareSpeak purchased the operations of CareSpeak Croatia in September 2016; accordingly, the combined historical information of both entities are necessary to provide a fair presentation of the historical operations that have been acquired by the Company.</w:t>
      </w:r>
    </w:p>
    <w:p>
      <w:pPr>
        <w:spacing w:after="0" w:line="18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Such unaudited pro forma combined financial information should be read in conjunction with the historical consolidated financial statements of the Company for the year ended December 31, 2017, including the notes thereto, which were filed as part of the Company’s Form 10-K filed with the Securities and Exchange Commission on March 8, 2018, and the Company’s Quarterly Report on Form 10-Q for the nine month period ended September 30, 2018, which was filed with the Securities and Exchange Commission on November 5, 2018. Such unaudited pro forma combined financial information includes unaudited historical combined financial information of CareSpeak as of September 30, 2018 and for the nine-month period ended September 30, 2018 and year ended December 31, 2017, which have been prepared by management of CareSpeak. The unaudited pro forma combined statements of operations of the Company only include the acquisition of CareSpeak. In addition, the unaudited pro forma combined financial statements are based upon pro forma allocations of the purchase price of CareSpeak based upon the fair value of the assets and liabilities acquired in connection with the Acquisition. Management believes that all material adjustments necessary to reflect the effect of the Acquisition have been made to the unaudited pro forma combined financial information.</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pro forma combined financial information is for informational purposes only and is not necessarily indicative of the results of operations of the Company that would have occurred if the acquisition of CareSpeak had been completed on the dates indicated, nor does it purport to represent the Company’s results of operations as of any future date or for any future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BALANCE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w w:val="98"/>
              </w:rPr>
              <w:t>OptimizeRx</w:t>
            </w:r>
          </w:p>
        </w:tc>
        <w:tc>
          <w:tcPr>
            <w:tcW w:w="16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CareSpeak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Pro Forma</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Pro Forma</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w w:val="97"/>
              </w:rPr>
              <w:t>Corporation</w:t>
            </w:r>
          </w:p>
        </w:tc>
        <w:tc>
          <w:tcPr>
            <w:tcW w:w="1360" w:type="dxa"/>
            <w:vAlign w:val="bottom"/>
            <w:gridSpan w:val="3"/>
          </w:tcPr>
          <w:p>
            <w:pPr>
              <w:spacing w:after="0"/>
              <w:rPr>
                <w:sz w:val="20"/>
                <w:szCs w:val="20"/>
                <w:color w:val="auto"/>
              </w:rPr>
            </w:pPr>
            <w:r>
              <w:rPr>
                <w:rFonts w:ascii="Arial" w:cs="Arial" w:eastAsia="Arial" w:hAnsi="Arial"/>
                <w:sz w:val="18"/>
                <w:szCs w:val="18"/>
                <w:color w:val="auto"/>
                <w:w w:val="99"/>
              </w:rPr>
              <w:t>Communications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Combined</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w w:val="94"/>
              </w:rPr>
              <w:t>Adjustments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Combined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tcPr>
          <w:p>
            <w:pPr>
              <w:ind w:left="1840"/>
              <w:spacing w:after="0" w:line="201"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13,523,002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295,596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13,818,598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(5,835,561)</w:t>
            </w: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7,983,037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3,791,964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134,446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3,926,410</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3,926,410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 related party</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1,373,054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1,373,054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1,373,054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201,320</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201,320</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201,320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83,654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83,654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shd w:val="clear" w:color="auto" w:fill="CCEEFF"/>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90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tcBorders>
              <w:bottom w:val="single" w:sz="8" w:color="auto"/>
            </w:tcBorders>
            <w:shd w:val="clear" w:color="auto" w:fill="000000"/>
          </w:tcPr>
          <w:p>
            <w:pPr>
              <w:spacing w:after="0" w:line="20" w:lineRule="exact"/>
              <w:rPr>
                <w:sz w:val="1"/>
                <w:szCs w:val="1"/>
                <w:color w:val="auto"/>
              </w:rPr>
            </w:pPr>
          </w:p>
        </w:tc>
        <w:tc>
          <w:tcPr>
            <w:tcW w:w="106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90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900" w:type="dxa"/>
            <w:vAlign w:val="bottom"/>
            <w:tcBorders>
              <w:bottom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94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2"/>
          </w:tcPr>
          <w:p>
            <w:pPr>
              <w:spacing w:after="0" w:line="203" w:lineRule="exact"/>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w w:val="97"/>
              </w:rPr>
              <w:t>18,889,340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513,696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w w:val="97"/>
              </w:rPr>
              <w:t>19,403,036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(5,835,561</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w w:val="99"/>
              </w:rPr>
              <w:t>13,567,475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149,936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153,276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5,147</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tcPr>
          <w:p>
            <w:pPr>
              <w:spacing w:after="0" w:line="203" w:lineRule="exact"/>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Patent rights, net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587,848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587,848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587,848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40"/>
              <w:spacing w:after="0"/>
              <w:rPr>
                <w:sz w:val="20"/>
                <w:szCs w:val="20"/>
                <w:color w:val="auto"/>
              </w:rPr>
            </w:pPr>
            <w:r>
              <w:rPr>
                <w:rFonts w:ascii="Arial" w:cs="Arial" w:eastAsia="Arial" w:hAnsi="Arial"/>
                <w:sz w:val="18"/>
                <w:szCs w:val="18"/>
                <w:color w:val="auto"/>
              </w:rPr>
              <w:t>Web development and other intangible costs, net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128,381</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128,381</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128,381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Security deposit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4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3,678,513</w:t>
            </w:r>
          </w:p>
        </w:tc>
        <w:tc>
          <w:tcPr>
            <w:tcW w:w="240" w:type="dxa"/>
            <w:vAlign w:val="bottom"/>
          </w:tcPr>
          <w:p>
            <w:pPr>
              <w:spacing w:after="0"/>
              <w:rPr>
                <w:sz w:val="18"/>
                <w:szCs w:val="18"/>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[c]</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3,678,513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intangible assets</w:t>
            </w: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4,678,000</w:t>
            </w: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w:t>
            </w: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4,678,000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500" w:type="dxa"/>
            <w:vAlign w:val="bottom"/>
            <w:gridSpan w:val="2"/>
          </w:tcPr>
          <w:p>
            <w:pPr>
              <w:spacing w:after="0" w:line="203" w:lineRule="exact"/>
              <w:rPr>
                <w:sz w:val="20"/>
                <w:szCs w:val="20"/>
                <w:color w:val="auto"/>
              </w:rPr>
            </w:pPr>
            <w:r>
              <w:rPr>
                <w:rFonts w:ascii="Arial" w:cs="Arial" w:eastAsia="Arial" w:hAnsi="Arial"/>
                <w:sz w:val="18"/>
                <w:szCs w:val="18"/>
                <w:color w:val="auto"/>
              </w:rPr>
              <w:t>Total Other Assets</w:t>
            </w:r>
          </w:p>
        </w:tc>
        <w:tc>
          <w:tcPr>
            <w:tcW w:w="1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721,278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721,278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8,356,513</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9,077,791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4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19,760,554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517,036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20,277,590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2,526,099</w:t>
            </w: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22,803,689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40"/>
              <w:spacing w:after="0"/>
              <w:rPr>
                <w:sz w:val="20"/>
                <w:szCs w:val="20"/>
                <w:color w:val="auto"/>
              </w:rPr>
            </w:pPr>
            <w:r>
              <w:rPr>
                <w:rFonts w:ascii="Arial" w:cs="Arial" w:eastAsia="Arial" w:hAnsi="Arial"/>
                <w:sz w:val="18"/>
                <w:szCs w:val="18"/>
                <w:color w:val="auto"/>
              </w:rPr>
              <w:t>Accounts payable - trade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165,458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760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166,218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459,000</w:t>
            </w:r>
          </w:p>
        </w:tc>
        <w:tc>
          <w:tcPr>
            <w:tcW w:w="660" w:type="dxa"/>
            <w:vAlign w:val="bottom"/>
          </w:tcPr>
          <w:p>
            <w:pPr>
              <w:ind w:left="180"/>
              <w:spacing w:after="0"/>
              <w:rPr>
                <w:sz w:val="20"/>
                <w:szCs w:val="20"/>
                <w:color w:val="auto"/>
              </w:rPr>
            </w:pPr>
            <w:r>
              <w:rPr>
                <w:rFonts w:ascii="Arial" w:cs="Arial" w:eastAsia="Arial" w:hAnsi="Arial"/>
                <w:sz w:val="18"/>
                <w:szCs w:val="18"/>
                <w:color w:val="auto"/>
              </w:rPr>
              <w:t>[d]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625,218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814,530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106,387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920,917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2,365,000</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3,285,917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40"/>
              <w:spacing w:after="0"/>
              <w:rPr>
                <w:sz w:val="20"/>
                <w:szCs w:val="20"/>
                <w:color w:val="auto"/>
              </w:rPr>
            </w:pPr>
            <w:r>
              <w:rPr>
                <w:rFonts w:ascii="Arial" w:cs="Arial" w:eastAsia="Arial" w:hAnsi="Arial"/>
                <w:sz w:val="18"/>
                <w:szCs w:val="18"/>
                <w:color w:val="auto"/>
              </w:rPr>
              <w:t>Revenue share payable</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763,084</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763,084</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763,084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813,316</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70,988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884,304</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884,304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bottom w:val="single" w:sz="8" w:color="CCEEFF"/>
            </w:tcBorders>
          </w:tcPr>
          <w:p>
            <w:pPr>
              <w:ind w:left="140"/>
              <w:spacing w:after="0" w:line="203" w:lineRule="exact"/>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2,556,388</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178,135</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2,734,523</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2,824,000</w:t>
            </w:r>
          </w:p>
        </w:tc>
        <w:tc>
          <w:tcPr>
            <w:tcW w:w="240" w:type="dxa"/>
            <w:vAlign w:val="bottom"/>
            <w:tcBorders>
              <w:top w:val="single" w:sz="8" w:color="CCEEFF"/>
              <w:bottom w:val="single" w:sz="8" w:color="CCEEFF"/>
            </w:tcBorders>
          </w:tcPr>
          <w:p>
            <w:pPr>
              <w:spacing w:after="0"/>
              <w:rPr>
                <w:sz w:val="18"/>
                <w:szCs w:val="18"/>
                <w:color w:val="auto"/>
              </w:rPr>
            </w:pPr>
          </w:p>
        </w:tc>
        <w:tc>
          <w:tcPr>
            <w:tcW w:w="6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5,558,523</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Preferred stock, $0.001 par value, 10,000,000 shares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authorized, no issued and outstanding at September 30,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11,971</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11,971</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[f]</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47,361,086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360,099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47,721,185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139,870</w:t>
            </w: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47,861,055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(30,168,891)</w:t>
            </w:r>
          </w:p>
        </w:tc>
        <w:tc>
          <w:tcPr>
            <w:tcW w:w="1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(21,198)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(30,190,089)</w:t>
            </w: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(437,802)</w:t>
            </w:r>
          </w:p>
        </w:tc>
        <w:tc>
          <w:tcPr>
            <w:tcW w:w="660" w:type="dxa"/>
            <w:vAlign w:val="bottom"/>
          </w:tcPr>
          <w:p>
            <w:pPr>
              <w:ind w:left="180"/>
              <w:spacing w:after="0"/>
              <w:rPr>
                <w:sz w:val="20"/>
                <w:szCs w:val="20"/>
                <w:color w:val="auto"/>
              </w:rPr>
            </w:pPr>
            <w:r>
              <w:rPr>
                <w:rFonts w:ascii="Arial" w:cs="Arial" w:eastAsia="Arial" w:hAnsi="Arial"/>
                <w:sz w:val="18"/>
                <w:szCs w:val="18"/>
                <w:color w:val="auto"/>
              </w:rPr>
              <w:t>[h]</w:t>
            </w:r>
          </w:p>
        </w:tc>
        <w:tc>
          <w:tcPr>
            <w:tcW w:w="1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(30,627,891)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17,204,166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338,901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17,543,067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(297,901</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17,245,166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19,760,554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517,036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20,277,590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2,526,099</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22,803,689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2018</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Pro Forma</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Pro Forma</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OptimizeRx</w:t>
            </w:r>
          </w:p>
        </w:tc>
        <w:tc>
          <w:tcPr>
            <w:tcW w:w="12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CareSpeak</w:t>
            </w:r>
          </w:p>
        </w:tc>
        <w:tc>
          <w:tcPr>
            <w:tcW w:w="10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Combined</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w w:val="94"/>
              </w:rPr>
              <w:t>Adjustments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Combined</w:t>
            </w:r>
          </w:p>
        </w:tc>
        <w:tc>
          <w:tcPr>
            <w:tcW w:w="0" w:type="dxa"/>
            <w:vAlign w:val="bottom"/>
          </w:tcPr>
          <w:p>
            <w:pPr>
              <w:spacing w:after="0"/>
              <w:rPr>
                <w:sz w:val="1"/>
                <w:szCs w:val="1"/>
                <w:color w:val="auto"/>
              </w:rPr>
            </w:pP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9,951,743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906,599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10,858,342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10,858,342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ind w:left="300"/>
              <w:spacing w:after="0"/>
              <w:rPr>
                <w:sz w:val="20"/>
                <w:szCs w:val="20"/>
                <w:color w:val="auto"/>
              </w:rPr>
            </w:pPr>
            <w:r>
              <w:rPr>
                <w:rFonts w:ascii="Arial" w:cs="Arial" w:eastAsia="Arial" w:hAnsi="Arial"/>
                <w:sz w:val="18"/>
                <w:szCs w:val="18"/>
                <w:color w:val="auto"/>
              </w:rPr>
              <w:t>Revenue - Related Party</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4,675,351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4,675,351</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4,675,351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14,627,094</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906,599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15,533,693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15,533,693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REVENUE SHARE EXPENSE</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6,513,810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6,513,810</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6,513,810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GROSS MARGIN</w:t>
            </w: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8,113,284</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906,599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9,019,883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9,019,883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7,807,705</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707,558</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8,515,263</w:t>
            </w: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295,183</w:t>
            </w:r>
          </w:p>
        </w:tc>
        <w:tc>
          <w:tcPr>
            <w:tcW w:w="8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[c], [i]</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8,810,446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INCOME FROM OPERATIONS</w:t>
            </w: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305,579</w:t>
            </w:r>
          </w:p>
        </w:tc>
        <w:tc>
          <w:tcPr>
            <w:tcW w:w="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199,040</w:t>
            </w:r>
          </w:p>
        </w:tc>
        <w:tc>
          <w:tcPr>
            <w:tcW w:w="2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504,619</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(295,183</w:t>
            </w:r>
          </w:p>
        </w:tc>
        <w:tc>
          <w:tcPr>
            <w:tcW w:w="180" w:type="dxa"/>
            <w:vAlign w:val="bottom"/>
            <w:tcBorders>
              <w:top w:val="single" w:sz="8" w:color="CCEEFF"/>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7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209,437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30,679</w:t>
            </w: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30,681</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bottom w:val="single" w:sz="8" w:color="CCEEFF"/>
            </w:tcBorders>
          </w:tcPr>
          <w:p>
            <w:pPr>
              <w:ind w:left="140"/>
              <w:spacing w:after="0" w:line="203" w:lineRule="exact"/>
              <w:rPr>
                <w:sz w:val="20"/>
                <w:szCs w:val="20"/>
                <w:color w:val="auto"/>
              </w:rPr>
            </w:pPr>
            <w:r>
              <w:rPr>
                <w:rFonts w:ascii="Arial" w:cs="Arial" w:eastAsia="Arial" w:hAnsi="Arial"/>
                <w:sz w:val="18"/>
                <w:szCs w:val="18"/>
                <w:color w:val="auto"/>
              </w:rPr>
              <w:t>TOTAL OTHER INCOME</w:t>
            </w: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30,679</w:t>
            </w:r>
          </w:p>
        </w:tc>
        <w:tc>
          <w:tcPr>
            <w:tcW w:w="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2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30,681</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tcPr>
          <w:p>
            <w:pPr>
              <w:spacing w:after="0"/>
              <w:rPr>
                <w:sz w:val="18"/>
                <w:szCs w:val="18"/>
                <w:color w:val="auto"/>
              </w:rPr>
            </w:pPr>
          </w:p>
        </w:tc>
        <w:tc>
          <w:tcPr>
            <w:tcW w:w="7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30,681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INCOME BEFORE PROVISION FOR INCOME TAXES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336,258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535,300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(295,183)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336,258</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199,042</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535,300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(295,183</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240,118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Borders>
              <w:top w:val="single" w:sz="8" w:color="CCEEFF"/>
              <w:bottom w:val="single" w:sz="8" w:color="CCEEFF"/>
            </w:tcBorders>
            <w:vMerge w:val="restart"/>
          </w:tcPr>
          <w:p>
            <w:pPr>
              <w:spacing w:after="0" w:line="201" w:lineRule="exact"/>
              <w:rPr>
                <w:sz w:val="20"/>
                <w:szCs w:val="20"/>
                <w:color w:val="auto"/>
              </w:rPr>
            </w:pPr>
            <w:r>
              <w:rPr>
                <w:rFonts w:ascii="Arial" w:cs="Arial" w:eastAsia="Arial" w:hAnsi="Arial"/>
                <w:sz w:val="18"/>
                <w:szCs w:val="18"/>
                <w:color w:val="auto"/>
              </w:rPr>
              <w:t>WEIGHTED AVERAGE NUMBER OF SHARES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OUTSTANDING:</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10,840,584</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10,871,222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bottom w:val="single" w:sz="8" w:color="CCEEFF"/>
            </w:tcBorders>
          </w:tcPr>
          <w:p>
            <w:pPr>
              <w:ind w:left="140"/>
              <w:spacing w:after="0" w:line="203" w:lineRule="exact"/>
              <w:rPr>
                <w:sz w:val="20"/>
                <w:szCs w:val="20"/>
                <w:color w:val="auto"/>
              </w:rPr>
            </w:pPr>
            <w:r>
              <w:rPr>
                <w:rFonts w:ascii="Arial" w:cs="Arial" w:eastAsia="Arial" w:hAnsi="Arial"/>
                <w:sz w:val="18"/>
                <w:szCs w:val="18"/>
                <w:color w:val="auto"/>
              </w:rPr>
              <w:t>DILUTIVE</w:t>
            </w: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11,766,754</w:t>
            </w:r>
          </w:p>
        </w:tc>
        <w:tc>
          <w:tcPr>
            <w:tcW w:w="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1,087</w:t>
            </w:r>
          </w:p>
        </w:tc>
        <w:tc>
          <w:tcPr>
            <w:tcW w:w="2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tcPr>
          <w:p>
            <w:pPr>
              <w:spacing w:after="0"/>
              <w:rPr>
                <w:sz w:val="18"/>
                <w:szCs w:val="18"/>
                <w:color w:val="auto"/>
              </w:rPr>
            </w:pPr>
          </w:p>
        </w:tc>
        <w:tc>
          <w:tcPr>
            <w:tcW w:w="7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11,797,392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0.03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183.11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DILUTIVE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Pro Forma</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Pro Forma</w:t>
            </w:r>
          </w:p>
        </w:tc>
      </w:tr>
      <w:tr>
        <w:trPr>
          <w:trHeight w:val="237"/>
        </w:trPr>
        <w:tc>
          <w:tcPr>
            <w:tcW w:w="4580" w:type="dxa"/>
            <w:vAlign w:val="bottom"/>
          </w:tcPr>
          <w:p>
            <w:pPr>
              <w:spacing w:after="0"/>
              <w:rPr>
                <w:sz w:val="20"/>
                <w:szCs w:val="20"/>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OptimizeRx</w:t>
            </w:r>
          </w:p>
        </w:tc>
        <w:tc>
          <w:tcPr>
            <w:tcW w:w="12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CareSpeak</w:t>
            </w:r>
          </w:p>
        </w:tc>
        <w:tc>
          <w:tcPr>
            <w:tcW w:w="10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Combined</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w w:val="94"/>
              </w:rPr>
              <w:t>Adjustments</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Combined</w:t>
            </w:r>
          </w:p>
        </w:tc>
      </w:tr>
      <w:tr>
        <w:trPr>
          <w:trHeight w:val="432"/>
        </w:trPr>
        <w:tc>
          <w:tcPr>
            <w:tcW w:w="4580" w:type="dxa"/>
            <w:vAlign w:val="bottom"/>
          </w:tcPr>
          <w:p>
            <w:pPr>
              <w:spacing w:after="0"/>
              <w:rPr>
                <w:sz w:val="20"/>
                <w:szCs w:val="20"/>
                <w:color w:val="auto"/>
              </w:rPr>
            </w:pPr>
            <w:r>
              <w:rPr>
                <w:rFonts w:ascii="Arial" w:cs="Arial" w:eastAsia="Arial" w:hAnsi="Arial"/>
                <w:sz w:val="18"/>
                <w:szCs w:val="18"/>
                <w:color w:val="auto"/>
              </w:rPr>
              <w:t>NET REVENUE</w:t>
            </w: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8,431,208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800,459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9,231,667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9,231,667</w:t>
            </w:r>
          </w:p>
        </w:tc>
        <w:tc>
          <w:tcPr>
            <w:tcW w:w="80" w:type="dxa"/>
            <w:vAlign w:val="bottom"/>
            <w:shd w:val="clear" w:color="auto" w:fill="CCEEFF"/>
          </w:tcPr>
          <w:p>
            <w:pPr>
              <w:spacing w:after="0"/>
              <w:rPr>
                <w:sz w:val="18"/>
                <w:szCs w:val="18"/>
                <w:color w:val="auto"/>
              </w:rPr>
            </w:pPr>
          </w:p>
        </w:tc>
      </w:tr>
      <w:tr>
        <w:trPr>
          <w:trHeight w:val="237"/>
        </w:trPr>
        <w:tc>
          <w:tcPr>
            <w:tcW w:w="4580" w:type="dxa"/>
            <w:vAlign w:val="bottom"/>
          </w:tcPr>
          <w:p>
            <w:pPr>
              <w:ind w:left="320"/>
              <w:spacing w:after="0"/>
              <w:rPr>
                <w:sz w:val="20"/>
                <w:szCs w:val="20"/>
                <w:color w:val="auto"/>
              </w:rPr>
            </w:pPr>
            <w:r>
              <w:rPr>
                <w:rFonts w:ascii="Arial" w:cs="Arial" w:eastAsia="Arial" w:hAnsi="Arial"/>
                <w:sz w:val="18"/>
                <w:szCs w:val="18"/>
                <w:color w:val="auto"/>
              </w:rPr>
              <w:t>Revenue - Related Party</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3,696,214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3,696,214</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3,696,214</w:t>
            </w:r>
          </w:p>
        </w:tc>
        <w:tc>
          <w:tcPr>
            <w:tcW w:w="80" w:type="dxa"/>
            <w:vAlign w:val="bottom"/>
          </w:tcPr>
          <w:p>
            <w:pPr>
              <w:spacing w:after="0"/>
              <w:rPr>
                <w:sz w:val="20"/>
                <w:szCs w:val="20"/>
                <w:color w:val="auto"/>
              </w:rPr>
            </w:pPr>
          </w:p>
        </w:tc>
      </w:tr>
      <w:tr>
        <w:trPr>
          <w:trHeight w:val="216"/>
        </w:trPr>
        <w:tc>
          <w:tcPr>
            <w:tcW w:w="45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NET REVENUE</w:t>
            </w: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12,127,422</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800,459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12,927,881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12,927,881</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4580" w:type="dxa"/>
            <w:vAlign w:val="bottom"/>
          </w:tcPr>
          <w:p>
            <w:pPr>
              <w:ind w:left="160"/>
              <w:spacing w:after="0"/>
              <w:rPr>
                <w:sz w:val="20"/>
                <w:szCs w:val="20"/>
                <w:color w:val="auto"/>
              </w:rPr>
            </w:pPr>
            <w:r>
              <w:rPr>
                <w:rFonts w:ascii="Arial" w:cs="Arial" w:eastAsia="Arial" w:hAnsi="Arial"/>
                <w:sz w:val="18"/>
                <w:szCs w:val="18"/>
                <w:color w:val="auto"/>
              </w:rPr>
              <w:t>REVENUE SHARE EXPENSE</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6,174,614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6,174,614</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6,174,614</w:t>
            </w:r>
          </w:p>
        </w:tc>
        <w:tc>
          <w:tcPr>
            <w:tcW w:w="80" w:type="dxa"/>
            <w:vAlign w:val="bottom"/>
          </w:tcPr>
          <w:p>
            <w:pPr>
              <w:spacing w:after="0"/>
              <w:rPr>
                <w:sz w:val="20"/>
                <w:szCs w:val="20"/>
                <w:color w:val="auto"/>
              </w:rPr>
            </w:pPr>
          </w:p>
        </w:tc>
      </w:tr>
      <w:tr>
        <w:trPr>
          <w:trHeight w:val="216"/>
        </w:trPr>
        <w:tc>
          <w:tcPr>
            <w:tcW w:w="45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5,952,808</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800,459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6,753,267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6,753,267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8,082,774</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755,245</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8,838,019</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454,217</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[c]</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9,292,236</w:t>
            </w:r>
          </w:p>
        </w:tc>
        <w:tc>
          <w:tcPr>
            <w:tcW w:w="80" w:type="dxa"/>
            <w:vAlign w:val="bottom"/>
            <w:shd w:val="clear" w:color="auto" w:fill="CCEEFF"/>
          </w:tcPr>
          <w:p>
            <w:pPr>
              <w:spacing w:after="0"/>
              <w:rPr>
                <w:sz w:val="21"/>
                <w:szCs w:val="21"/>
                <w:color w:val="auto"/>
              </w:rPr>
            </w:pPr>
          </w:p>
        </w:tc>
      </w:tr>
      <w:tr>
        <w:trPr>
          <w:trHeight w:val="203"/>
        </w:trPr>
        <w:tc>
          <w:tcPr>
            <w:tcW w:w="45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INCOME (LOSS) FROM OPERATIONS</w:t>
            </w: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(2,129,966)</w:t>
            </w: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45,214</w:t>
            </w: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(2,084,752)</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(454,217)</w:t>
            </w:r>
          </w:p>
        </w:tc>
        <w:tc>
          <w:tcPr>
            <w:tcW w:w="24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(2,538,969)</w:t>
            </w:r>
          </w:p>
        </w:tc>
        <w:tc>
          <w:tcPr>
            <w:tcW w:w="80" w:type="dxa"/>
            <w:vAlign w:val="bottom"/>
            <w:tcBorders>
              <w:top w:val="single" w:sz="8" w:color="CCEEFF"/>
            </w:tcBorders>
          </w:tcPr>
          <w:p>
            <w:pPr>
              <w:spacing w:after="0"/>
              <w:rPr>
                <w:sz w:val="17"/>
                <w:szCs w:val="17"/>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458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25,937</w:t>
            </w:r>
          </w:p>
        </w:tc>
        <w:tc>
          <w:tcPr>
            <w:tcW w:w="12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25,940</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25,940</w:t>
            </w:r>
          </w:p>
        </w:tc>
        <w:tc>
          <w:tcPr>
            <w:tcW w:w="80" w:type="dxa"/>
            <w:vAlign w:val="bottom"/>
          </w:tcPr>
          <w:p>
            <w:pPr>
              <w:spacing w:after="0"/>
              <w:rPr>
                <w:sz w:val="20"/>
                <w:szCs w:val="20"/>
                <w:color w:val="auto"/>
              </w:rPr>
            </w:pPr>
          </w:p>
        </w:tc>
      </w:tr>
      <w:tr>
        <w:trPr>
          <w:trHeight w:val="236"/>
        </w:trPr>
        <w:tc>
          <w:tcPr>
            <w:tcW w:w="45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OTHER INCOME</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25,937</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25,940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75"/>
        </w:trPr>
        <w:tc>
          <w:tcPr>
            <w:tcW w:w="4580" w:type="dxa"/>
            <w:vAlign w:val="bottom"/>
          </w:tcPr>
          <w:p>
            <w:pPr>
              <w:ind w:left="160"/>
              <w:spacing w:after="0" w:line="176" w:lineRule="exact"/>
              <w:rPr>
                <w:sz w:val="20"/>
                <w:szCs w:val="20"/>
                <w:color w:val="auto"/>
              </w:rPr>
            </w:pPr>
            <w:r>
              <w:rPr>
                <w:rFonts w:ascii="Arial" w:cs="Arial" w:eastAsia="Arial" w:hAnsi="Arial"/>
                <w:sz w:val="18"/>
                <w:szCs w:val="18"/>
                <w:color w:val="auto"/>
                <w:w w:val="99"/>
              </w:rPr>
              <w:t>INCOME (LOSS) BEFORE PROVISION FOR INCOME</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0"/>
        </w:trPr>
        <w:tc>
          <w:tcPr>
            <w:tcW w:w="4580" w:type="dxa"/>
            <w:vAlign w:val="bottom"/>
          </w:tcPr>
          <w:p>
            <w:pPr>
              <w:ind w:left="340"/>
              <w:spacing w:after="0"/>
              <w:rPr>
                <w:sz w:val="20"/>
                <w:szCs w:val="20"/>
                <w:color w:val="auto"/>
              </w:rPr>
            </w:pPr>
            <w:r>
              <w:rPr>
                <w:rFonts w:ascii="Arial" w:cs="Arial" w:eastAsia="Arial" w:hAnsi="Arial"/>
                <w:sz w:val="18"/>
                <w:szCs w:val="18"/>
                <w:color w:val="auto"/>
              </w:rPr>
              <w:t>TAXES</w:t>
            </w:r>
          </w:p>
        </w:tc>
        <w:tc>
          <w:tcPr>
            <w:tcW w:w="1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(2,104,029)</w:t>
            </w:r>
          </w:p>
        </w:tc>
        <w:tc>
          <w:tcPr>
            <w:tcW w:w="12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45,217</w:t>
            </w:r>
          </w:p>
        </w:tc>
        <w:tc>
          <w:tcPr>
            <w:tcW w:w="10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(2,058,812)</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(454,217)</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(2,513,029)</w:t>
            </w:r>
          </w:p>
        </w:tc>
      </w:tr>
      <w:tr>
        <w:trPr>
          <w:trHeight w:val="250"/>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78"/>
        </w:trPr>
        <w:tc>
          <w:tcPr>
            <w:tcW w:w="458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(2,104,029</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45,217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(2,058,812</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(454,217</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(2,513,029</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161"/>
        </w:trPr>
        <w:tc>
          <w:tcPr>
            <w:tcW w:w="4580" w:type="dxa"/>
            <w:vAlign w:val="bottom"/>
            <w:tcBorders>
              <w:top w:val="single" w:sz="8" w:color="CCEEFF"/>
            </w:tcBorders>
            <w:shd w:val="clear" w:color="auto" w:fill="CCEEFF"/>
          </w:tcPr>
          <w:p>
            <w:pPr>
              <w:ind w:left="160"/>
              <w:spacing w:after="0" w:line="161" w:lineRule="exact"/>
              <w:rPr>
                <w:sz w:val="20"/>
                <w:szCs w:val="20"/>
                <w:color w:val="auto"/>
              </w:rPr>
            </w:pPr>
            <w:r>
              <w:rPr>
                <w:rFonts w:ascii="Arial" w:cs="Arial" w:eastAsia="Arial" w:hAnsi="Arial"/>
                <w:sz w:val="18"/>
                <w:szCs w:val="18"/>
                <w:color w:val="auto"/>
              </w:rPr>
              <w:t>WEIGHTED AVERAGE NUMBER OF SHARES</w:t>
            </w:r>
          </w:p>
        </w:tc>
        <w:tc>
          <w:tcPr>
            <w:tcW w:w="1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264"/>
        </w:trPr>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BASIC &amp; DILUTIVE</w:t>
            </w: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29,459,259</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68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29,489,897</w:t>
            </w:r>
          </w:p>
        </w:tc>
        <w:tc>
          <w:tcPr>
            <w:tcW w:w="80" w:type="dxa"/>
            <w:vAlign w:val="bottom"/>
            <w:shd w:val="clear" w:color="auto" w:fill="CCEEFF"/>
          </w:tcPr>
          <w:p>
            <w:pPr>
              <w:spacing w:after="0"/>
              <w:rPr>
                <w:sz w:val="22"/>
                <w:szCs w:val="22"/>
                <w:color w:val="auto"/>
              </w:rPr>
            </w:pPr>
          </w:p>
        </w:tc>
      </w:tr>
      <w:tr>
        <w:trPr>
          <w:trHeight w:val="175"/>
        </w:trPr>
        <w:tc>
          <w:tcPr>
            <w:tcW w:w="4580" w:type="dxa"/>
            <w:vAlign w:val="bottom"/>
            <w:tcBorders>
              <w:top w:val="single" w:sz="8" w:color="CCEEFF"/>
            </w:tcBorders>
          </w:tcPr>
          <w:p>
            <w:pPr>
              <w:ind w:left="160"/>
              <w:spacing w:after="0" w:line="176" w:lineRule="exact"/>
              <w:rPr>
                <w:sz w:val="20"/>
                <w:szCs w:val="20"/>
                <w:color w:val="auto"/>
              </w:rPr>
            </w:pPr>
            <w:r>
              <w:rPr>
                <w:rFonts w:ascii="Arial" w:cs="Arial" w:eastAsia="Arial" w:hAnsi="Arial"/>
                <w:sz w:val="18"/>
                <w:szCs w:val="18"/>
                <w:color w:val="auto"/>
              </w:rPr>
              <w:t>NET INCOME (LOSS) PER SHARE BASIC AND</w:t>
            </w: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r>
      <w:tr>
        <w:trPr>
          <w:trHeight w:val="244"/>
        </w:trPr>
        <w:tc>
          <w:tcPr>
            <w:tcW w:w="4580" w:type="dxa"/>
            <w:vAlign w:val="bottom"/>
          </w:tcPr>
          <w:p>
            <w:pPr>
              <w:ind w:left="34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41.60</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(0.09)</w:t>
            </w:r>
          </w:p>
        </w:tc>
      </w:tr>
      <w:tr>
        <w:trPr>
          <w:trHeight w:val="27"/>
        </w:trPr>
        <w:tc>
          <w:tcPr>
            <w:tcW w:w="4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Notes to Pro Forma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October 17, 2018, OptimizeRx Corp. (the “Company”) entered into, and consummated the transactions contemplated by, a Stock Purchase Agreement (the “Purchase Agreement”) by and among the Company, CareSpeak (collectively, the “Sellers”), each of Srdjan Loncar, United Healthcare Services, Inc., Christopher DiCostanzo and Kresimir Nesek as “Seller Indemnitors” and Srdjan Loncar in his capacity as seller’s representative, which agreement provided for the purchase of all equity of CareSpeak by the Company.</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consideration for the acquisition costs of $5.5 million in cash, as adjusted for estimated working capital, estimated indebtedness, escrow amounts and Sellers’ estimated transaction expenses, as well as shares of the Company’s common stock equal to $500,000 divided by the VWAP for the thirty (30) trading day period ending the day prior to Closing and earnout payments of up to $3 million, if any become payable, as a result of achieving certain revenue targets for 2019 and 2020. In addition, the Company incurred its own expenses for the transaction at approximately $500,000.</w:t>
      </w:r>
    </w:p>
    <w:p>
      <w:pPr>
        <w:spacing w:after="0" w:line="171"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The unaudited pro forma combined financial statements have been prepared to give effect to the acquisition by the Company of CareSpeak using the historical consolidated financial statements of the Company and the historical combined financial statements CareSpeak. Please note that the unaudited pro forma combined financial statements should be read in conjunction with the audited and unaudited historical financial statements of the Company and CareSpeak, respectively. This information can be found in the Company’s Annual Report on Form 10-K for the fiscal year ended December 31, 2017 and Quarterly Report on Form 10-Q for the nine months ended September 30, 2018, and in Exhibits 99.2 and 99.3 of this Current Report on Form 8-K.</w:t>
      </w:r>
    </w:p>
    <w:p>
      <w:pPr>
        <w:spacing w:after="0" w:line="158"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 historical financial information of CareSpeak includes the financial information of CareSpeak Communications, Inc. and CareSpeak Communications, d.o.o. (“CareSpeak Croatia) as CareSpeak purchased the operations of CareSpeak Croatia in September 2016; accordingly, the combined historical information of both entities is necessary to provide a fair presentation of the historical operations that have been acquired by the Company.</w:t>
      </w:r>
    </w:p>
    <w:p>
      <w:pPr>
        <w:spacing w:after="0" w:line="14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unaudited pro forma combined balance sheet as of September 30, 2018, combines the unaudited consolidated balance sheets of the Company and CareSpeak on September 30, 2018, and gives effect to the Acquisition as if it had occurred on September 30, 2018.</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unaudited pro forma combined statement of operations for the nine months ended September 30, 2018 combines the unaudited results of operations of the Company and CareSpeak to give the effect as if the Acquisition occurred the first day of the period presented (January 1, 2017). The unaudited pro forma combined statement of operations for the twelve months ended December 31, 2017, combines the audited consolidated statements of operations of the Company for the twelve months fiscal year ended December 31, 2017, with the unaudited combined statement of operations of CareSpeak for the twelve months ended December 31, 2017, to give the effect as if the Acquisition occurred the first day of the period presented (January 1, 2016).</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2 - Unaudited Pro Forma Adjustments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following are explanations that correspond by letter to the pro forma adjustments in the accompanying unaudited pro forma combined financial statements: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Cash impact upon paying the Closing Amount to the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11480" cy="7461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411480" cy="746125"/>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w:t>
            </w:r>
          </w:p>
        </w:tc>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 for CareSpeak working capital</w:t>
            </w:r>
          </w:p>
        </w:tc>
        <w:tc>
          <w:tcPr>
            <w:tcW w:w="3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(335,561)</w:t>
            </w:r>
          </w:p>
        </w:tc>
        <w:tc>
          <w:tcPr>
            <w:tcW w:w="0" w:type="dxa"/>
            <w:vAlign w:val="bottom"/>
          </w:tcPr>
          <w:p>
            <w:pPr>
              <w:spacing w:after="0"/>
              <w:rPr>
                <w:sz w:val="1"/>
                <w:szCs w:val="1"/>
                <w:color w:val="auto"/>
              </w:rPr>
            </w:pPr>
          </w:p>
        </w:tc>
      </w:tr>
      <w:tr>
        <w:trPr>
          <w:trHeight w:val="230"/>
        </w:trPr>
        <w:tc>
          <w:tcPr>
            <w:tcW w:w="940" w:type="dxa"/>
            <w:vAlign w:val="bottom"/>
          </w:tcPr>
          <w:p>
            <w:pPr>
              <w:ind w:left="660"/>
              <w:spacing w:after="0"/>
              <w:rPr>
                <w:sz w:val="20"/>
                <w:szCs w:val="20"/>
                <w:color w:val="auto"/>
              </w:rPr>
            </w:pPr>
            <w:r>
              <w:rPr>
                <w:rFonts w:ascii="Arial" w:cs="Arial" w:eastAsia="Arial" w:hAnsi="Arial"/>
                <w:sz w:val="18"/>
                <w:szCs w:val="18"/>
                <w:color w:val="auto"/>
              </w:rPr>
              <w:t>2)</w:t>
            </w:r>
          </w:p>
        </w:tc>
        <w:tc>
          <w:tcPr>
            <w:tcW w:w="6200" w:type="dxa"/>
            <w:vAlign w:val="bottom"/>
          </w:tcPr>
          <w:p>
            <w:pPr>
              <w:ind w:left="140"/>
              <w:spacing w:after="0"/>
              <w:rPr>
                <w:sz w:val="20"/>
                <w:szCs w:val="20"/>
                <w:color w:val="auto"/>
              </w:rPr>
            </w:pPr>
            <w:r>
              <w:rPr>
                <w:rFonts w:ascii="Arial" w:cs="Arial" w:eastAsia="Arial" w:hAnsi="Arial"/>
                <w:sz w:val="18"/>
                <w:szCs w:val="18"/>
                <w:color w:val="auto"/>
              </w:rPr>
              <w:t>Payment of cash purchase consideration</w:t>
            </w:r>
          </w:p>
        </w:tc>
        <w:tc>
          <w:tcPr>
            <w:tcW w:w="3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7"/>
              </w:rPr>
              <w:t>(5,500,000)</w:t>
            </w:r>
          </w:p>
        </w:tc>
        <w:tc>
          <w:tcPr>
            <w:tcW w:w="0" w:type="dxa"/>
            <w:vAlign w:val="bottom"/>
          </w:tcPr>
          <w:p>
            <w:pPr>
              <w:spacing w:after="0"/>
              <w:rPr>
                <w:sz w:val="1"/>
                <w:szCs w:val="1"/>
                <w:color w:val="auto"/>
              </w:rPr>
            </w:pPr>
          </w:p>
        </w:tc>
      </w:tr>
      <w:tr>
        <w:trPr>
          <w:trHeight w:val="27"/>
        </w:trPr>
        <w:tc>
          <w:tcPr>
            <w:tcW w:w="7140" w:type="dxa"/>
            <w:vAlign w:val="bottom"/>
            <w:gridSpan w:val="2"/>
            <w:vMerge w:val="restart"/>
            <w:shd w:val="clear" w:color="auto" w:fill="CCEEFF"/>
          </w:tcPr>
          <w:p>
            <w:pPr>
              <w:ind w:left="660"/>
              <w:spacing w:after="0"/>
              <w:rPr>
                <w:sz w:val="20"/>
                <w:szCs w:val="20"/>
                <w:color w:val="auto"/>
              </w:rPr>
            </w:pPr>
            <w:r>
              <w:rPr>
                <w:rFonts w:ascii="Arial" w:cs="Arial" w:eastAsia="Arial" w:hAnsi="Arial"/>
                <w:sz w:val="18"/>
                <w:szCs w:val="18"/>
                <w:color w:val="auto"/>
              </w:rPr>
              <w:t>Net impact on cash</w:t>
            </w:r>
          </w:p>
        </w:tc>
        <w:tc>
          <w:tcPr>
            <w:tcW w:w="3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7140" w:type="dxa"/>
            <w:vAlign w:val="bottom"/>
            <w:gridSpan w:val="2"/>
            <w:vMerge w:val="continue"/>
            <w:shd w:val="clear" w:color="auto" w:fill="CCEEFF"/>
          </w:tcPr>
          <w:p>
            <w:pPr>
              <w:spacing w:after="0"/>
              <w:rPr>
                <w:sz w:val="21"/>
                <w:szCs w:val="21"/>
                <w:color w:val="auto"/>
              </w:rPr>
            </w:pPr>
          </w:p>
        </w:tc>
        <w:tc>
          <w:tcPr>
            <w:tcW w:w="3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(5,835,561</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94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the fair value adjustment of property and equipment purchased from CareSpeak.</w:t>
      </w:r>
    </w:p>
    <w:p>
      <w:pPr>
        <w:spacing w:after="0" w:line="225" w:lineRule="exact"/>
        <w:rPr>
          <w:rFonts w:ascii="Arial" w:cs="Arial" w:eastAsia="Arial" w:hAnsi="Arial"/>
          <w:sz w:val="18"/>
          <w:szCs w:val="18"/>
          <w:color w:val="auto"/>
        </w:rPr>
      </w:pPr>
    </w:p>
    <w:p>
      <w:pPr>
        <w:ind w:left="660" w:right="2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following table summarizes the fair values of the CareSpeak assets acquired and liabilities assumed and the allocation of the excess purchase price to certain identifiable intangible assets. The two periods presented represent the pro forma balance sheet date of this report on September 30, 2018 and the actual Closing Date of October 17, 2018.</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60" w:type="dxa"/>
            <w:vAlign w:val="bottom"/>
            <w:vMerge w:val="restart"/>
          </w:tcPr>
          <w:p>
            <w:pPr>
              <w:ind w:left="660"/>
              <w:spacing w:after="0"/>
              <w:rPr>
                <w:sz w:val="20"/>
                <w:szCs w:val="20"/>
                <w:color w:val="auto"/>
              </w:rPr>
            </w:pPr>
            <w:r>
              <w:rPr>
                <w:rFonts w:ascii="Arial" w:cs="Arial" w:eastAsia="Arial" w:hAnsi="Arial"/>
                <w:sz w:val="18"/>
                <w:szCs w:val="18"/>
                <w:color w:val="auto"/>
              </w:rPr>
              <w:t>Assets acquired</w:t>
            </w:r>
          </w:p>
        </w:tc>
        <w:tc>
          <w:tcPr>
            <w:tcW w:w="1140" w:type="dxa"/>
            <w:vAlign w:val="bottom"/>
            <w:gridSpan w:val="3"/>
          </w:tcPr>
          <w:p>
            <w:pPr>
              <w:spacing w:after="0"/>
              <w:rPr>
                <w:sz w:val="20"/>
                <w:szCs w:val="20"/>
                <w:color w:val="auto"/>
              </w:rPr>
            </w:pPr>
            <w:r>
              <w:rPr>
                <w:rFonts w:ascii="Arial" w:cs="Arial" w:eastAsia="Arial" w:hAnsi="Arial"/>
                <w:sz w:val="18"/>
                <w:szCs w:val="18"/>
                <w:color w:val="auto"/>
                <w:w w:val="94"/>
              </w:rPr>
              <w:t>September 30,</w:t>
            </w:r>
          </w:p>
        </w:tc>
        <w:tc>
          <w:tcPr>
            <w:tcW w:w="100" w:type="dxa"/>
            <w:vAlign w:val="bottom"/>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color w:val="auto"/>
              </w:rPr>
              <w:t>October 17,</w:t>
            </w:r>
          </w:p>
        </w:tc>
        <w:tc>
          <w:tcPr>
            <w:tcW w:w="0" w:type="dxa"/>
            <w:vAlign w:val="bottom"/>
          </w:tcPr>
          <w:p>
            <w:pPr>
              <w:spacing w:after="0"/>
              <w:rPr>
                <w:sz w:val="1"/>
                <w:szCs w:val="1"/>
                <w:color w:val="auto"/>
              </w:rPr>
            </w:pPr>
          </w:p>
        </w:tc>
      </w:tr>
      <w:tr>
        <w:trPr>
          <w:trHeight w:val="237"/>
        </w:trPr>
        <w:tc>
          <w:tcPr>
            <w:tcW w:w="906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66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134,446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112,617</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83,654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57,823</w:t>
            </w:r>
          </w:p>
        </w:tc>
        <w:tc>
          <w:tcPr>
            <w:tcW w:w="0" w:type="dxa"/>
            <w:vAlign w:val="bottom"/>
          </w:tcPr>
          <w:p>
            <w:pPr>
              <w:spacing w:after="0"/>
              <w:rPr>
                <w:sz w:val="1"/>
                <w:szCs w:val="1"/>
                <w:color w:val="auto"/>
              </w:rPr>
            </w:pPr>
          </w:p>
        </w:tc>
      </w:tr>
      <w:tr>
        <w:trPr>
          <w:trHeight w:val="216"/>
        </w:trPr>
        <w:tc>
          <w:tcPr>
            <w:tcW w:w="9060" w:type="dxa"/>
            <w:vAlign w:val="bottom"/>
          </w:tcPr>
          <w:p>
            <w:pPr>
              <w:ind w:left="660"/>
              <w:spacing w:after="0"/>
              <w:rPr>
                <w:sz w:val="20"/>
                <w:szCs w:val="20"/>
                <w:color w:val="auto"/>
              </w:rPr>
            </w:pPr>
            <w:r>
              <w:rPr>
                <w:rFonts w:ascii="Arial" w:cs="Arial" w:eastAsia="Arial" w:hAnsi="Arial"/>
                <w:sz w:val="18"/>
                <w:szCs w:val="18"/>
                <w:color w:val="auto"/>
              </w:rPr>
              <w:t>Property and Equipment</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8,487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8,487</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Customer Relationship</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492,000</w:t>
            </w:r>
          </w:p>
        </w:tc>
        <w:tc>
          <w:tcPr>
            <w:tcW w:w="0" w:type="dxa"/>
            <w:vAlign w:val="bottom"/>
          </w:tcPr>
          <w:p>
            <w:pPr>
              <w:spacing w:after="0"/>
              <w:rPr>
                <w:sz w:val="1"/>
                <w:szCs w:val="1"/>
                <w:color w:val="auto"/>
              </w:rPr>
            </w:pPr>
          </w:p>
        </w:tc>
      </w:tr>
      <w:tr>
        <w:trPr>
          <w:trHeight w:val="216"/>
        </w:trPr>
        <w:tc>
          <w:tcPr>
            <w:tcW w:w="9060" w:type="dxa"/>
            <w:vAlign w:val="bottom"/>
          </w:tcPr>
          <w:p>
            <w:pPr>
              <w:ind w:left="660"/>
              <w:spacing w:after="0"/>
              <w:rPr>
                <w:sz w:val="20"/>
                <w:szCs w:val="20"/>
                <w:color w:val="auto"/>
              </w:rPr>
            </w:pPr>
            <w:r>
              <w:rPr>
                <w:rFonts w:ascii="Arial" w:cs="Arial" w:eastAsia="Arial" w:hAnsi="Arial"/>
                <w:sz w:val="18"/>
                <w:szCs w:val="18"/>
                <w:color w:val="auto"/>
              </w:rPr>
              <w:t>Tradename</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982,000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982,000</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Technology/Software (Patent)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2,227,000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2,227,000</w:t>
            </w:r>
          </w:p>
        </w:tc>
        <w:tc>
          <w:tcPr>
            <w:tcW w:w="0" w:type="dxa"/>
            <w:vAlign w:val="bottom"/>
          </w:tcPr>
          <w:p>
            <w:pPr>
              <w:spacing w:after="0"/>
              <w:rPr>
                <w:sz w:val="1"/>
                <w:szCs w:val="1"/>
                <w:color w:val="auto"/>
              </w:rPr>
            </w:pPr>
          </w:p>
        </w:tc>
      </w:tr>
      <w:tr>
        <w:trPr>
          <w:trHeight w:val="216"/>
        </w:trPr>
        <w:tc>
          <w:tcPr>
            <w:tcW w:w="9060" w:type="dxa"/>
            <w:vAlign w:val="bottom"/>
          </w:tcPr>
          <w:p>
            <w:pPr>
              <w:ind w:left="660"/>
              <w:spacing w:after="0"/>
              <w:rPr>
                <w:sz w:val="20"/>
                <w:szCs w:val="20"/>
                <w:color w:val="auto"/>
              </w:rPr>
            </w:pPr>
            <w:r>
              <w:rPr>
                <w:rFonts w:ascii="Arial" w:cs="Arial" w:eastAsia="Arial" w:hAnsi="Arial"/>
                <w:sz w:val="18"/>
                <w:szCs w:val="18"/>
                <w:color w:val="auto"/>
              </w:rPr>
              <w:t>Non-Compete Agreement</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977,000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977,000</w:t>
            </w: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3,678,513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3,678,513</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tcBorders>
            <w:vMerge w:val="restart"/>
          </w:tcPr>
          <w:p>
            <w:pPr>
              <w:ind w:left="820"/>
              <w:spacing w:after="0"/>
              <w:rPr>
                <w:sz w:val="20"/>
                <w:szCs w:val="20"/>
                <w:color w:val="auto"/>
              </w:rPr>
            </w:pPr>
            <w:r>
              <w:rPr>
                <w:rFonts w:ascii="Arial" w:cs="Arial" w:eastAsia="Arial" w:hAnsi="Arial"/>
                <w:sz w:val="18"/>
                <w:szCs w:val="18"/>
                <w:color w:val="auto"/>
              </w:rPr>
              <w:t>Total assets acquired</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9060" w:type="dxa"/>
            <w:vAlign w:val="bottom"/>
            <w:vMerge w:val="continue"/>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8,878,696</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8,535,440</w:t>
            </w:r>
          </w:p>
        </w:tc>
        <w:tc>
          <w:tcPr>
            <w:tcW w:w="0" w:type="dxa"/>
            <w:vAlign w:val="bottom"/>
          </w:tcPr>
          <w:p>
            <w:pPr>
              <w:spacing w:after="0"/>
              <w:rPr>
                <w:sz w:val="1"/>
                <w:szCs w:val="1"/>
                <w:color w:val="auto"/>
              </w:rPr>
            </w:pPr>
          </w:p>
        </w:tc>
      </w:tr>
      <w:tr>
        <w:trPr>
          <w:trHeight w:val="216"/>
        </w:trPr>
        <w:tc>
          <w:tcPr>
            <w:tcW w:w="90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660"/>
              <w:spacing w:after="0"/>
              <w:rPr>
                <w:sz w:val="20"/>
                <w:szCs w:val="20"/>
                <w:color w:val="auto"/>
              </w:rPr>
            </w:pPr>
            <w:r>
              <w:rPr>
                <w:rFonts w:ascii="Arial" w:cs="Arial" w:eastAsia="Arial" w:hAnsi="Arial"/>
                <w:sz w:val="18"/>
                <w:szCs w:val="18"/>
                <w:b w:val="1"/>
                <w:bCs w:val="1"/>
                <w:color w:val="auto"/>
              </w:rPr>
              <w:t>Liabilities assumed</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 and other accrued liabilities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57,459</w:t>
            </w:r>
          </w:p>
        </w:tc>
        <w:tc>
          <w:tcPr>
            <w:tcW w:w="0" w:type="dxa"/>
            <w:vAlign w:val="bottom"/>
          </w:tcPr>
          <w:p>
            <w:pPr>
              <w:spacing w:after="0"/>
              <w:rPr>
                <w:sz w:val="1"/>
                <w:szCs w:val="1"/>
                <w:color w:val="auto"/>
              </w:rPr>
            </w:pPr>
          </w:p>
        </w:tc>
      </w:tr>
      <w:tr>
        <w:trPr>
          <w:trHeight w:val="237"/>
        </w:trPr>
        <w:tc>
          <w:tcPr>
            <w:tcW w:w="9060" w:type="dxa"/>
            <w:vAlign w:val="bottom"/>
          </w:tcPr>
          <w:p>
            <w:pPr>
              <w:ind w:left="66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177,375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21,570</w:t>
            </w:r>
          </w:p>
        </w:tc>
        <w:tc>
          <w:tcPr>
            <w:tcW w:w="0" w:type="dxa"/>
            <w:vAlign w:val="bottom"/>
          </w:tcPr>
          <w:p>
            <w:pPr>
              <w:spacing w:after="0"/>
              <w:rPr>
                <w:sz w:val="1"/>
                <w:szCs w:val="1"/>
                <w:color w:val="auto"/>
              </w:rPr>
            </w:pPr>
          </w:p>
        </w:tc>
      </w:tr>
      <w:tr>
        <w:trPr>
          <w:trHeight w:val="216"/>
        </w:trPr>
        <w:tc>
          <w:tcPr>
            <w:tcW w:w="906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 assumed</w:t>
            </w: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178,135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9060" w:type="dxa"/>
            <w:vAlign w:val="bottom"/>
          </w:tcPr>
          <w:p>
            <w:pPr>
              <w:ind w:left="820"/>
              <w:spacing w:after="0"/>
              <w:rPr>
                <w:sz w:val="20"/>
                <w:szCs w:val="20"/>
                <w:color w:val="auto"/>
              </w:rPr>
            </w:pPr>
            <w:r>
              <w:rPr>
                <w:rFonts w:ascii="Arial" w:cs="Arial" w:eastAsia="Arial" w:hAnsi="Arial"/>
                <w:sz w:val="18"/>
                <w:szCs w:val="18"/>
                <w:color w:val="auto"/>
              </w:rPr>
              <w:t>Net assets acquired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8,700,561</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8,456,411</w:t>
            </w:r>
          </w:p>
        </w:tc>
        <w:tc>
          <w:tcPr>
            <w:tcW w:w="0" w:type="dxa"/>
            <w:vAlign w:val="bottom"/>
          </w:tcPr>
          <w:p>
            <w:pPr>
              <w:spacing w:after="0"/>
              <w:rPr>
                <w:sz w:val="1"/>
                <w:szCs w:val="1"/>
                <w:color w:val="auto"/>
              </w:rPr>
            </w:pPr>
          </w:p>
        </w:tc>
      </w:tr>
      <w:tr>
        <w:trPr>
          <w:trHeight w:val="216"/>
        </w:trPr>
        <w:tc>
          <w:tcPr>
            <w:tcW w:w="90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660"/>
              <w:spacing w:after="0"/>
              <w:rPr>
                <w:sz w:val="20"/>
                <w:szCs w:val="20"/>
                <w:color w:val="auto"/>
              </w:rPr>
            </w:pPr>
            <w:r>
              <w:rPr>
                <w:rFonts w:ascii="Arial" w:cs="Arial" w:eastAsia="Arial" w:hAnsi="Arial"/>
                <w:sz w:val="18"/>
                <w:szCs w:val="18"/>
                <w:b w:val="1"/>
                <w:bCs w:val="1"/>
                <w:color w:val="auto"/>
              </w:rPr>
              <w:t>Purchase consideration:</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paid at closing</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4,850,000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4,850,000</w:t>
            </w:r>
          </w:p>
        </w:tc>
        <w:tc>
          <w:tcPr>
            <w:tcW w:w="0" w:type="dxa"/>
            <w:vAlign w:val="bottom"/>
          </w:tcPr>
          <w:p>
            <w:pPr>
              <w:spacing w:after="0"/>
              <w:rPr>
                <w:sz w:val="1"/>
                <w:szCs w:val="1"/>
                <w:color w:val="auto"/>
              </w:rPr>
            </w:pPr>
          </w:p>
        </w:tc>
      </w:tr>
      <w:tr>
        <w:trPr>
          <w:trHeight w:val="216"/>
        </w:trPr>
        <w:tc>
          <w:tcPr>
            <w:tcW w:w="9060" w:type="dxa"/>
            <w:vAlign w:val="bottom"/>
          </w:tcPr>
          <w:p>
            <w:pPr>
              <w:ind w:left="660"/>
              <w:spacing w:after="0"/>
              <w:rPr>
                <w:sz w:val="20"/>
                <w:szCs w:val="20"/>
                <w:color w:val="auto"/>
              </w:rPr>
            </w:pPr>
            <w:r>
              <w:rPr>
                <w:rFonts w:ascii="Arial" w:cs="Arial" w:eastAsia="Arial" w:hAnsi="Arial"/>
                <w:sz w:val="18"/>
                <w:szCs w:val="18"/>
                <w:color w:val="auto"/>
              </w:rPr>
              <w:t>Earn out consideration</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2,365,000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2,365,000</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Common Stock</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9060" w:type="dxa"/>
            <w:vAlign w:val="bottom"/>
          </w:tcPr>
          <w:p>
            <w:pPr>
              <w:ind w:left="660"/>
              <w:spacing w:after="0"/>
              <w:rPr>
                <w:sz w:val="20"/>
                <w:szCs w:val="20"/>
                <w:color w:val="auto"/>
              </w:rPr>
            </w:pPr>
            <w:r>
              <w:rPr>
                <w:rFonts w:ascii="Arial" w:cs="Arial" w:eastAsia="Arial" w:hAnsi="Arial"/>
                <w:sz w:val="18"/>
                <w:szCs w:val="18"/>
                <w:color w:val="auto"/>
              </w:rPr>
              <w:t>Escrow Amount</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Est Working Capital</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335,561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91,411</w:t>
            </w:r>
          </w:p>
        </w:tc>
        <w:tc>
          <w:tcPr>
            <w:tcW w:w="0" w:type="dxa"/>
            <w:vAlign w:val="bottom"/>
          </w:tcPr>
          <w:p>
            <w:pPr>
              <w:spacing w:after="0"/>
              <w:rPr>
                <w:sz w:val="1"/>
                <w:szCs w:val="1"/>
                <w:color w:val="auto"/>
              </w:rPr>
            </w:pPr>
          </w:p>
        </w:tc>
      </w:tr>
      <w:tr>
        <w:trPr>
          <w:trHeight w:val="230"/>
        </w:trPr>
        <w:tc>
          <w:tcPr>
            <w:tcW w:w="9060" w:type="dxa"/>
            <w:vAlign w:val="bottom"/>
          </w:tcPr>
          <w:p>
            <w:pPr>
              <w:ind w:left="660"/>
              <w:spacing w:after="0"/>
              <w:rPr>
                <w:sz w:val="20"/>
                <w:szCs w:val="20"/>
                <w:color w:val="auto"/>
              </w:rPr>
            </w:pPr>
            <w:r>
              <w:rPr>
                <w:rFonts w:ascii="Arial" w:cs="Arial" w:eastAsia="Arial" w:hAnsi="Arial"/>
                <w:sz w:val="18"/>
                <w:szCs w:val="18"/>
                <w:color w:val="auto"/>
              </w:rPr>
              <w:t>Seller Reserve Amount</w:t>
            </w: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90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8,700,561</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8,456,411</w:t>
            </w:r>
          </w:p>
        </w:tc>
        <w:tc>
          <w:tcPr>
            <w:tcW w:w="0" w:type="dxa"/>
            <w:vAlign w:val="bottom"/>
          </w:tcPr>
          <w:p>
            <w:pPr>
              <w:spacing w:after="0"/>
              <w:rPr>
                <w:sz w:val="1"/>
                <w:szCs w:val="1"/>
                <w:color w:val="auto"/>
              </w:rPr>
            </w:pPr>
          </w:p>
        </w:tc>
      </w:tr>
      <w:tr>
        <w:trPr>
          <w:trHeight w:val="21"/>
        </w:trPr>
        <w:tc>
          <w:tcPr>
            <w:tcW w:w="9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-3987165</wp:posOffset>
            </wp:positionV>
            <wp:extent cx="411480" cy="3961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411480" cy="3961765"/>
                    </a:xfrm>
                    <a:prstGeom prst="rect">
                      <a:avLst/>
                    </a:prstGeom>
                    <a:noFill/>
                  </pic:spPr>
                </pic:pic>
              </a:graphicData>
            </a:graphic>
          </wp:anchor>
        </w:drawing>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ind w:left="660" w:right="40"/>
        <w:spacing w:after="0" w:line="257" w:lineRule="auto"/>
        <w:rPr>
          <w:sz w:val="20"/>
          <w:szCs w:val="20"/>
          <w:color w:val="auto"/>
        </w:rPr>
      </w:pPr>
      <w:r>
        <w:rPr>
          <w:rFonts w:ascii="Arial" w:cs="Arial" w:eastAsia="Arial" w:hAnsi="Arial"/>
          <w:sz w:val="18"/>
          <w:szCs w:val="18"/>
          <w:color w:val="auto"/>
        </w:rPr>
        <w:t>The Company has allocated the purchase price to the tangible and identified intangible assets acquired and liabilities assumed based on their fair values in accordance with generally accepted accounting principles in accordance with ASC 805. ASC 805 considers the existence of intangible assets in the following areas: marketing, customer relationships, proprietary software, artistic creations, contracts, and technology. The Company has identified and valued a patented technology, customer relationships, tradename and non-compete agreements as CareSpeak’s principal intangible assets in accordance with ASC 805 requirements.</w:t>
      </w:r>
    </w:p>
    <w:p>
      <w:pPr>
        <w:spacing w:after="0" w:line="188" w:lineRule="exact"/>
        <w:rPr>
          <w:sz w:val="20"/>
          <w:szCs w:val="20"/>
          <w:color w:val="auto"/>
        </w:rPr>
      </w:pPr>
    </w:p>
    <w:p>
      <w:pPr>
        <w:ind w:left="660" w:right="740"/>
        <w:spacing w:after="0" w:line="277" w:lineRule="auto"/>
        <w:rPr>
          <w:sz w:val="20"/>
          <w:szCs w:val="20"/>
          <w:color w:val="auto"/>
        </w:rPr>
      </w:pPr>
      <w:r>
        <w:rPr>
          <w:rFonts w:ascii="Arial" w:cs="Arial" w:eastAsia="Arial" w:hAnsi="Arial"/>
          <w:sz w:val="18"/>
          <w:szCs w:val="18"/>
          <w:color w:val="auto"/>
        </w:rPr>
        <w:t>As of the unaudited pro forma combined balance sheet date, below are the fair values of the identified intangible assets and their respective amortization periods for their useful life: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Estimated</w:t>
            </w:r>
          </w:p>
        </w:tc>
      </w:tr>
      <w:tr>
        <w:trPr>
          <w:trHeight w:val="237"/>
        </w:trPr>
        <w:tc>
          <w:tcPr>
            <w:tcW w:w="9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Fair Value</w:t>
            </w: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Useful life</w:t>
            </w:r>
          </w:p>
        </w:tc>
      </w:tr>
      <w:tr>
        <w:trPr>
          <w:trHeight w:val="216"/>
        </w:trPr>
        <w:tc>
          <w:tcPr>
            <w:tcW w:w="916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Technology (Patent)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2,227,000</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15 years</w:t>
            </w:r>
          </w:p>
        </w:tc>
      </w:tr>
      <w:tr>
        <w:trPr>
          <w:trHeight w:val="216"/>
        </w:trPr>
        <w:tc>
          <w:tcPr>
            <w:tcW w:w="9160" w:type="dxa"/>
            <w:vAlign w:val="bottom"/>
          </w:tcPr>
          <w:p>
            <w:pPr>
              <w:ind w:left="660"/>
              <w:spacing w:after="0"/>
              <w:rPr>
                <w:sz w:val="20"/>
                <w:szCs w:val="20"/>
                <w:color w:val="auto"/>
              </w:rPr>
            </w:pPr>
            <w:r>
              <w:rPr>
                <w:rFonts w:ascii="Arial" w:cs="Arial" w:eastAsia="Arial" w:hAnsi="Arial"/>
                <w:sz w:val="18"/>
                <w:szCs w:val="18"/>
                <w:color w:val="auto"/>
              </w:rPr>
              <w:t>Non-Compete Agreement</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977,000</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4 years</w:t>
            </w:r>
          </w:p>
        </w:tc>
      </w:tr>
      <w:tr>
        <w:trPr>
          <w:trHeight w:val="216"/>
        </w:trPr>
        <w:tc>
          <w:tcPr>
            <w:tcW w:w="9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Tradename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982,000</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infinite</w:t>
            </w:r>
          </w:p>
        </w:tc>
      </w:tr>
      <w:tr>
        <w:trPr>
          <w:trHeight w:val="237"/>
        </w:trPr>
        <w:tc>
          <w:tcPr>
            <w:tcW w:w="9160" w:type="dxa"/>
            <w:vAlign w:val="bottom"/>
          </w:tcPr>
          <w:p>
            <w:pPr>
              <w:ind w:left="660"/>
              <w:spacing w:after="0"/>
              <w:rPr>
                <w:sz w:val="20"/>
                <w:szCs w:val="20"/>
                <w:color w:val="auto"/>
              </w:rPr>
            </w:pPr>
            <w:r>
              <w:rPr>
                <w:rFonts w:ascii="Arial" w:cs="Arial" w:eastAsia="Arial" w:hAnsi="Arial"/>
                <w:sz w:val="18"/>
                <w:szCs w:val="18"/>
                <w:color w:val="auto"/>
              </w:rPr>
              <w:t>Customer Relationship</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492,000</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8 years</w:t>
            </w:r>
          </w:p>
        </w:tc>
      </w:tr>
      <w:tr>
        <w:trPr>
          <w:trHeight w:val="250"/>
        </w:trPr>
        <w:tc>
          <w:tcPr>
            <w:tcW w:w="91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4,678,000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9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-1062990</wp:posOffset>
            </wp:positionV>
            <wp:extent cx="411480" cy="1037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411480" cy="1037590"/>
                    </a:xfrm>
                    <a:prstGeom prst="rect">
                      <a:avLst/>
                    </a:prstGeom>
                    <a:noFill/>
                  </pic:spPr>
                </pic:pic>
              </a:graphicData>
            </a:graphic>
          </wp:anchor>
        </w:drawing>
      </w:r>
    </w:p>
    <w:p>
      <w:pPr>
        <w:spacing w:after="0" w:line="182" w:lineRule="exact"/>
        <w:rPr>
          <w:sz w:val="20"/>
          <w:szCs w:val="20"/>
          <w:color w:val="auto"/>
        </w:rPr>
      </w:pPr>
    </w:p>
    <w:p>
      <w:pPr>
        <w:ind w:left="660" w:right="80"/>
        <w:spacing w:after="0" w:line="312" w:lineRule="auto"/>
        <w:rPr>
          <w:sz w:val="20"/>
          <w:szCs w:val="20"/>
          <w:color w:val="auto"/>
        </w:rPr>
      </w:pPr>
      <w:r>
        <w:rPr>
          <w:rFonts w:ascii="Arial" w:cs="Arial" w:eastAsia="Arial" w:hAnsi="Arial"/>
          <w:sz w:val="16"/>
          <w:szCs w:val="16"/>
          <w:color w:val="auto"/>
        </w:rPr>
        <w:t>Amortization of technology, non-compete agreements and customer relationships are amortized on a straight-line basis. For the unaudited pro forma combined periods presented, monthly amortization would have been $37,851, based upon their respective useful lives. Total amortization for the nine months ended September 30, 2018 and the year ended December 31, 2017, was $340,659 and $454,212, respectively.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00" w:type="dxa"/>
            <w:vAlign w:val="bottom"/>
            <w:gridSpan w:val="2"/>
          </w:tcPr>
          <w:p>
            <w:pPr>
              <w:ind w:left="660"/>
              <w:spacing w:after="0"/>
              <w:rPr>
                <w:sz w:val="20"/>
                <w:szCs w:val="20"/>
                <w:color w:val="auto"/>
              </w:rPr>
            </w:pPr>
            <w:r>
              <w:rPr>
                <w:rFonts w:ascii="Arial" w:cs="Arial" w:eastAsia="Arial" w:hAnsi="Arial"/>
                <w:sz w:val="18"/>
                <w:szCs w:val="18"/>
                <w:color w:val="auto"/>
              </w:rPr>
              <w:t>The estimated total amortization expenses for the five years after the closing are as follows:</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300" w:type="dxa"/>
            <w:vAlign w:val="bottom"/>
            <w:gridSpan w:val="2"/>
          </w:tcPr>
          <w:p>
            <w:pPr>
              <w:ind w:left="660"/>
              <w:spacing w:after="0"/>
              <w:rPr>
                <w:sz w:val="20"/>
                <w:szCs w:val="20"/>
                <w:color w:val="auto"/>
              </w:rPr>
            </w:pPr>
            <w:r>
              <w:rPr>
                <w:rFonts w:ascii="Arial" w:cs="Arial" w:eastAsia="Arial" w:hAnsi="Arial"/>
                <w:sz w:val="18"/>
                <w:szCs w:val="18"/>
                <w:color w:val="auto"/>
              </w:rPr>
              <w:t>Years Ending December 31:</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2018</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94,628</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640" w:type="dxa"/>
            <w:vAlign w:val="bottom"/>
          </w:tcPr>
          <w:p>
            <w:pPr>
              <w:ind w:left="160"/>
              <w:spacing w:after="0"/>
              <w:rPr>
                <w:sz w:val="20"/>
                <w:szCs w:val="20"/>
                <w:color w:val="auto"/>
              </w:rPr>
            </w:pPr>
            <w:r>
              <w:rPr>
                <w:rFonts w:ascii="Arial" w:cs="Arial" w:eastAsia="Arial" w:hAnsi="Arial"/>
                <w:sz w:val="18"/>
                <w:szCs w:val="18"/>
                <w:color w:val="auto"/>
              </w:rPr>
              <w:t>2019</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454,212</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2020</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454,212</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640" w:type="dxa"/>
            <w:vAlign w:val="bottom"/>
          </w:tcPr>
          <w:p>
            <w:pPr>
              <w:ind w:left="160"/>
              <w:spacing w:after="0"/>
              <w:rPr>
                <w:sz w:val="20"/>
                <w:szCs w:val="20"/>
                <w:color w:val="auto"/>
              </w:rPr>
            </w:pPr>
            <w:r>
              <w:rPr>
                <w:rFonts w:ascii="Arial" w:cs="Arial" w:eastAsia="Arial" w:hAnsi="Arial"/>
                <w:sz w:val="18"/>
                <w:szCs w:val="18"/>
                <w:color w:val="auto"/>
              </w:rPr>
              <w:t>2021</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454,212</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2022</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441,400</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8640" w:type="dxa"/>
            <w:vAlign w:val="bottom"/>
          </w:tcPr>
          <w:p>
            <w:pPr>
              <w:ind w:left="160"/>
              <w:spacing w:after="0"/>
              <w:rPr>
                <w:sz w:val="20"/>
                <w:szCs w:val="20"/>
                <w:color w:val="auto"/>
              </w:rPr>
            </w:pPr>
            <w:r>
              <w:rPr>
                <w:rFonts w:ascii="Arial" w:cs="Arial" w:eastAsia="Arial" w:hAnsi="Arial"/>
                <w:sz w:val="18"/>
                <w:szCs w:val="18"/>
                <w:color w:val="auto"/>
              </w:rPr>
              <w:t>Thereafter</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1,797,337</w:t>
            </w:r>
          </w:p>
        </w:tc>
        <w:tc>
          <w:tcPr>
            <w:tcW w:w="0" w:type="dxa"/>
            <w:vAlign w:val="bottom"/>
          </w:tcPr>
          <w:p>
            <w:pPr>
              <w:spacing w:after="0"/>
              <w:rPr>
                <w:sz w:val="1"/>
                <w:szCs w:val="1"/>
                <w:color w:val="auto"/>
              </w:rPr>
            </w:pPr>
          </w:p>
        </w:tc>
      </w:tr>
      <w:tr>
        <w:trPr>
          <w:trHeight w:val="418"/>
        </w:trPr>
        <w:tc>
          <w:tcPr>
            <w:tcW w:w="9300" w:type="dxa"/>
            <w:vAlign w:val="bottom"/>
            <w:gridSpan w:val="2"/>
          </w:tcPr>
          <w:p>
            <w:pPr>
              <w:ind w:left="660"/>
              <w:spacing w:after="0"/>
              <w:rPr>
                <w:sz w:val="20"/>
                <w:szCs w:val="20"/>
                <w:color w:val="auto"/>
              </w:rPr>
            </w:pPr>
            <w:r>
              <w:rPr>
                <w:rFonts w:ascii="Arial" w:cs="Arial" w:eastAsia="Arial" w:hAnsi="Arial"/>
                <w:sz w:val="18"/>
                <w:szCs w:val="18"/>
                <w:color w:val="auto"/>
              </w:rPr>
              <w:t>There is no pro forma adjustment for depreciation expense since the historical depreciation is comparable.</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300" w:type="dxa"/>
            <w:vAlign w:val="bottom"/>
            <w:gridSpan w:val="2"/>
          </w:tcPr>
          <w:p>
            <w:pPr>
              <w:ind w:left="340"/>
              <w:spacing w:after="0"/>
              <w:rPr>
                <w:sz w:val="20"/>
                <w:szCs w:val="20"/>
                <w:color w:val="auto"/>
              </w:rPr>
            </w:pPr>
            <w:r>
              <w:rPr>
                <w:rFonts w:ascii="Arial" w:cs="Arial" w:eastAsia="Arial" w:hAnsi="Arial"/>
                <w:sz w:val="18"/>
                <w:szCs w:val="18"/>
                <w:color w:val="auto"/>
              </w:rPr>
              <w:t>(d)  Impact on accounts payable:</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30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 Total estimated acquisition related costs</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504,000</w:t>
            </w:r>
          </w:p>
        </w:tc>
        <w:tc>
          <w:tcPr>
            <w:tcW w:w="0" w:type="dxa"/>
            <w:vAlign w:val="bottom"/>
          </w:tcPr>
          <w:p>
            <w:pPr>
              <w:spacing w:after="0"/>
              <w:rPr>
                <w:sz w:val="1"/>
                <w:szCs w:val="1"/>
                <w:color w:val="auto"/>
              </w:rPr>
            </w:pPr>
          </w:p>
        </w:tc>
      </w:tr>
      <w:tr>
        <w:trPr>
          <w:trHeight w:val="230"/>
        </w:trPr>
        <w:tc>
          <w:tcPr>
            <w:tcW w:w="9300" w:type="dxa"/>
            <w:vAlign w:val="bottom"/>
            <w:gridSpan w:val="2"/>
          </w:tcPr>
          <w:p>
            <w:pPr>
              <w:ind w:left="660"/>
              <w:spacing w:after="0"/>
              <w:rPr>
                <w:sz w:val="20"/>
                <w:szCs w:val="20"/>
                <w:color w:val="auto"/>
              </w:rPr>
            </w:pPr>
            <w:r>
              <w:rPr>
                <w:rFonts w:ascii="Arial" w:cs="Arial" w:eastAsia="Arial" w:hAnsi="Arial"/>
                <w:sz w:val="18"/>
                <w:szCs w:val="18"/>
                <w:color w:val="auto"/>
              </w:rPr>
              <w:t>2) Costs reflected in OptimizeRx historical financial statements as of September 30, 2018</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7"/>
        </w:trPr>
        <w:tc>
          <w:tcPr>
            <w:tcW w:w="9300" w:type="dxa"/>
            <w:vAlign w:val="bottom"/>
            <w:gridSpan w:val="2"/>
            <w:vMerge w:val="restart"/>
            <w:shd w:val="clear" w:color="auto" w:fill="CCEEFF"/>
          </w:tcPr>
          <w:p>
            <w:pPr>
              <w:ind w:left="660"/>
              <w:spacing w:after="0"/>
              <w:rPr>
                <w:sz w:val="20"/>
                <w:szCs w:val="20"/>
                <w:color w:val="auto"/>
              </w:rPr>
            </w:pPr>
            <w:r>
              <w:rPr>
                <w:rFonts w:ascii="Arial" w:cs="Arial" w:eastAsia="Arial" w:hAnsi="Arial"/>
                <w:sz w:val="18"/>
                <w:szCs w:val="18"/>
                <w:color w:val="auto"/>
              </w:rPr>
              <w:t>Pro Forma acquisition costs reflected through the recordation of accounts payable at September 30, 2018</w:t>
            </w:r>
          </w:p>
        </w:tc>
        <w:tc>
          <w:tcPr>
            <w:tcW w:w="10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00" w:type="dxa"/>
            <w:vAlign w:val="bottom"/>
            <w:gridSpan w:val="2"/>
            <w:vMerge w:val="continue"/>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459,000</w:t>
            </w:r>
          </w:p>
        </w:tc>
        <w:tc>
          <w:tcPr>
            <w:tcW w:w="0" w:type="dxa"/>
            <w:vAlign w:val="bottom"/>
          </w:tcPr>
          <w:p>
            <w:pPr>
              <w:spacing w:after="0"/>
              <w:rPr>
                <w:sz w:val="1"/>
                <w:szCs w:val="1"/>
                <w:color w:val="auto"/>
              </w:rPr>
            </w:pPr>
          </w:p>
        </w:tc>
      </w:tr>
      <w:tr>
        <w:trPr>
          <w:trHeight w:val="21"/>
        </w:trPr>
        <w:tc>
          <w:tcPr>
            <w:tcW w:w="660" w:type="dxa"/>
            <w:vAlign w:val="bottom"/>
            <w:tcBorders>
              <w:top w:val="single" w:sz="8" w:color="CCEEFF"/>
            </w:tcBorders>
          </w:tcPr>
          <w:p>
            <w:pPr>
              <w:spacing w:after="0" w:line="20" w:lineRule="exact"/>
              <w:rPr>
                <w:sz w:val="1"/>
                <w:szCs w:val="1"/>
                <w:color w:val="auto"/>
              </w:rPr>
            </w:pPr>
          </w:p>
        </w:tc>
        <w:tc>
          <w:tcPr>
            <w:tcW w:w="86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411480" cy="4718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411480" cy="471805"/>
                    </a:xfrm>
                    <a:prstGeom prst="rect">
                      <a:avLst/>
                    </a:prstGeom>
                    <a:noFill/>
                  </pic:spPr>
                </pic:pic>
              </a:graphicData>
            </a:graphic>
          </wp:anchor>
        </w:drawing>
      </w:r>
    </w:p>
    <w:p>
      <w:pPr>
        <w:spacing w:after="0" w:line="398"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the present value of the future potential contingent earn-out the Sellers may earn based upon CareSpeak achieving certain revenue targets.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30,638 shares of Common Stock issued as purchase consideration.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10320" w:type="dxa"/>
            <w:vAlign w:val="bottom"/>
            <w:gridSpan w:val="2"/>
          </w:tcPr>
          <w:p>
            <w:pPr>
              <w:ind w:left="340"/>
              <w:spacing w:after="0"/>
              <w:rPr>
                <w:sz w:val="20"/>
                <w:szCs w:val="20"/>
                <w:color w:val="auto"/>
              </w:rPr>
            </w:pPr>
            <w:r>
              <w:rPr>
                <w:rFonts w:ascii="Arial" w:cs="Arial" w:eastAsia="Arial" w:hAnsi="Arial"/>
                <w:sz w:val="18"/>
                <w:szCs w:val="18"/>
                <w:color w:val="auto"/>
              </w:rPr>
              <w:t>(g)  Impact on Additional paid-in capital:</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20" w:type="dxa"/>
            <w:vAlign w:val="bottom"/>
            <w:shd w:val="clear" w:color="auto" w:fill="CCEEFF"/>
          </w:tcPr>
          <w:p>
            <w:pPr>
              <w:ind w:left="660"/>
              <w:spacing w:after="0" w:line="201" w:lineRule="exact"/>
              <w:rPr>
                <w:sz w:val="20"/>
                <w:szCs w:val="20"/>
                <w:color w:val="auto"/>
              </w:rPr>
            </w:pPr>
            <w:r>
              <w:rPr>
                <w:rFonts w:ascii="Arial" w:cs="Arial" w:eastAsia="Arial" w:hAnsi="Arial"/>
                <w:sz w:val="18"/>
                <w:szCs w:val="18"/>
                <w:color w:val="auto"/>
                <w:w w:val="87"/>
              </w:rPr>
              <w:t>1)</w:t>
            </w:r>
          </w:p>
        </w:tc>
        <w:tc>
          <w:tcPr>
            <w:tcW w:w="9500" w:type="dxa"/>
            <w:vAlign w:val="bottom"/>
            <w:tcBorders>
              <w:right w:val="single" w:sz="8" w:color="CCEEFF"/>
            </w:tcBorders>
            <w:shd w:val="clear" w:color="auto" w:fill="CCEEFF"/>
          </w:tcPr>
          <w:p>
            <w:pPr>
              <w:ind w:left="40"/>
              <w:spacing w:after="0" w:line="201" w:lineRule="exact"/>
              <w:rPr>
                <w:sz w:val="20"/>
                <w:szCs w:val="20"/>
                <w:color w:val="auto"/>
              </w:rPr>
            </w:pPr>
            <w:r>
              <w:rPr>
                <w:rFonts w:ascii="Arial" w:cs="Arial" w:eastAsia="Arial" w:hAnsi="Arial"/>
                <w:sz w:val="18"/>
                <w:szCs w:val="18"/>
                <w:color w:val="auto"/>
                <w:w w:val="90"/>
              </w:rPr>
              <w:t>Reflects the issuance of 30,638 shares of common stock as consideration in the purchase price. Shares were valued at $16.32 per</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95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 or $500,000. Shares are assumed to be fully outstanding in the periods presented</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499,969</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0" w:type="dxa"/>
            <w:vAlign w:val="bottom"/>
          </w:tcPr>
          <w:p>
            <w:pPr>
              <w:ind w:left="660"/>
              <w:spacing w:after="0"/>
              <w:rPr>
                <w:sz w:val="20"/>
                <w:szCs w:val="20"/>
                <w:color w:val="auto"/>
              </w:rPr>
            </w:pPr>
            <w:r>
              <w:rPr>
                <w:rFonts w:ascii="Arial" w:cs="Arial" w:eastAsia="Arial" w:hAnsi="Arial"/>
                <w:sz w:val="18"/>
                <w:szCs w:val="18"/>
                <w:color w:val="auto"/>
                <w:w w:val="87"/>
              </w:rPr>
              <w:t>2)</w:t>
            </w:r>
          </w:p>
        </w:tc>
        <w:tc>
          <w:tcPr>
            <w:tcW w:w="9500" w:type="dxa"/>
            <w:vAlign w:val="bottom"/>
          </w:tcPr>
          <w:p>
            <w:pPr>
              <w:ind w:left="40"/>
              <w:spacing w:after="0"/>
              <w:rPr>
                <w:sz w:val="20"/>
                <w:szCs w:val="20"/>
                <w:color w:val="auto"/>
              </w:rPr>
            </w:pPr>
            <w:r>
              <w:rPr>
                <w:rFonts w:ascii="Arial" w:cs="Arial" w:eastAsia="Arial" w:hAnsi="Arial"/>
                <w:sz w:val="18"/>
                <w:szCs w:val="18"/>
                <w:color w:val="auto"/>
              </w:rPr>
              <w:t>Reflects removal of $360,099 additional paid-in-capital of CareSpeak in the acquisition</w:t>
            </w: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(360,099)</w:t>
            </w:r>
          </w:p>
        </w:tc>
        <w:tc>
          <w:tcPr>
            <w:tcW w:w="0" w:type="dxa"/>
            <w:vAlign w:val="bottom"/>
          </w:tcPr>
          <w:p>
            <w:pPr>
              <w:spacing w:after="0"/>
              <w:rPr>
                <w:sz w:val="1"/>
                <w:szCs w:val="1"/>
                <w:color w:val="auto"/>
              </w:rPr>
            </w:pPr>
          </w:p>
        </w:tc>
      </w:tr>
      <w:tr>
        <w:trPr>
          <w:trHeight w:val="27"/>
        </w:trPr>
        <w:tc>
          <w:tcPr>
            <w:tcW w:w="820" w:type="dxa"/>
            <w:vAlign w:val="bottom"/>
            <w:shd w:val="clear" w:color="auto" w:fill="CCEEFF"/>
          </w:tcPr>
          <w:p>
            <w:pPr>
              <w:spacing w:after="0"/>
              <w:rPr>
                <w:sz w:val="2"/>
                <w:szCs w:val="2"/>
                <w:color w:val="auto"/>
              </w:rPr>
            </w:pPr>
          </w:p>
        </w:tc>
        <w:tc>
          <w:tcPr>
            <w:tcW w:w="95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shd w:val="clear" w:color="auto" w:fill="CCEEFF"/>
          </w:tcPr>
          <w:p>
            <w:pPr>
              <w:spacing w:after="0"/>
              <w:rPr>
                <w:sz w:val="21"/>
                <w:szCs w:val="21"/>
                <w:color w:val="auto"/>
              </w:rPr>
            </w:pPr>
          </w:p>
        </w:tc>
        <w:tc>
          <w:tcPr>
            <w:tcW w:w="950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139,870</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032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color w:val="auto"/>
              </w:rPr>
              <w:t>(h)  Impact on retained earnings: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3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7"/>
              </w:rPr>
              <w:t>1)</w:t>
            </w:r>
          </w:p>
        </w:tc>
        <w:tc>
          <w:tcPr>
            <w:tcW w:w="95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estimated acquisition related costs</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504,000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20" w:type="dxa"/>
            <w:vAlign w:val="bottom"/>
          </w:tcPr>
          <w:p>
            <w:pPr>
              <w:ind w:left="660"/>
              <w:spacing w:after="0"/>
              <w:rPr>
                <w:sz w:val="20"/>
                <w:szCs w:val="20"/>
                <w:color w:val="auto"/>
              </w:rPr>
            </w:pPr>
            <w:r>
              <w:rPr>
                <w:rFonts w:ascii="Arial" w:cs="Arial" w:eastAsia="Arial" w:hAnsi="Arial"/>
                <w:sz w:val="18"/>
                <w:szCs w:val="18"/>
                <w:color w:val="auto"/>
                <w:w w:val="87"/>
              </w:rPr>
              <w:t>2)</w:t>
            </w:r>
          </w:p>
        </w:tc>
        <w:tc>
          <w:tcPr>
            <w:tcW w:w="9500" w:type="dxa"/>
            <w:vAlign w:val="bottom"/>
          </w:tcPr>
          <w:p>
            <w:pPr>
              <w:ind w:left="40"/>
              <w:spacing w:after="0"/>
              <w:rPr>
                <w:sz w:val="20"/>
                <w:szCs w:val="20"/>
                <w:color w:val="auto"/>
              </w:rPr>
            </w:pPr>
            <w:r>
              <w:rPr>
                <w:rFonts w:ascii="Arial" w:cs="Arial" w:eastAsia="Arial" w:hAnsi="Arial"/>
                <w:sz w:val="18"/>
                <w:szCs w:val="18"/>
                <w:color w:val="auto"/>
              </w:rPr>
              <w:t>Costs reflected in OptimizeRx historical financial statements as of September 30, 2018</w:t>
            </w: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16"/>
        </w:trPr>
        <w:tc>
          <w:tcPr>
            <w:tcW w:w="82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w w:val="87"/>
              </w:rPr>
              <w:t>3)</w:t>
            </w:r>
          </w:p>
        </w:tc>
        <w:tc>
          <w:tcPr>
            <w:tcW w:w="9500" w:type="dxa"/>
            <w:vAlign w:val="bottom"/>
            <w:tcBorders>
              <w:top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acquisition costs not recorded in historical financial statements as of September 30, 2018</w:t>
            </w: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459,000</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2"/>
          </w:tcPr>
          <w:p>
            <w:pPr>
              <w:ind w:left="660"/>
              <w:spacing w:after="0"/>
              <w:rPr>
                <w:sz w:val="20"/>
                <w:szCs w:val="20"/>
                <w:color w:val="auto"/>
              </w:rPr>
            </w:pPr>
            <w:r>
              <w:rPr>
                <w:rFonts w:ascii="Arial" w:cs="Arial" w:eastAsia="Arial" w:hAnsi="Arial"/>
                <w:sz w:val="18"/>
                <w:szCs w:val="18"/>
                <w:color w:val="auto"/>
              </w:rPr>
              <w:t>Acquisition costs which are expensed and thus reflected as a reduction to retained earnings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320" w:type="dxa"/>
            <w:vAlign w:val="bottom"/>
            <w:tcBorders>
              <w:right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4.) Reflects removal of $21,196 in retained earnings of CareSpeak in the acquisition</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(21,198)</w:t>
            </w:r>
          </w:p>
        </w:tc>
        <w:tc>
          <w:tcPr>
            <w:tcW w:w="0" w:type="dxa"/>
            <w:vAlign w:val="bottom"/>
          </w:tcPr>
          <w:p>
            <w:pPr>
              <w:spacing w:after="0"/>
              <w:rPr>
                <w:sz w:val="1"/>
                <w:szCs w:val="1"/>
                <w:color w:val="auto"/>
              </w:rPr>
            </w:pPr>
          </w:p>
        </w:tc>
      </w:tr>
      <w:tr>
        <w:trPr>
          <w:trHeight w:val="20"/>
        </w:trPr>
        <w:tc>
          <w:tcPr>
            <w:tcW w:w="10320" w:type="dxa"/>
            <w:vAlign w:val="bottom"/>
            <w:tcBorders>
              <w:top w:val="single" w:sz="8" w:color="CCEEFF"/>
            </w:tcBorders>
            <w:gridSpan w:val="2"/>
            <w:vMerge w:val="restart"/>
          </w:tcPr>
          <w:p>
            <w:pPr>
              <w:ind w:left="660"/>
              <w:spacing w:after="0"/>
              <w:rPr>
                <w:sz w:val="20"/>
                <w:szCs w:val="20"/>
                <w:color w:val="auto"/>
              </w:rPr>
            </w:pPr>
            <w:r>
              <w:rPr>
                <w:rFonts w:ascii="Arial" w:cs="Arial" w:eastAsia="Arial" w:hAnsi="Arial"/>
                <w:sz w:val="18"/>
                <w:szCs w:val="18"/>
                <w:color w:val="auto"/>
              </w:rPr>
              <w:t>Pro Forma reduction to retained earnings</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320" w:type="dxa"/>
            <w:vAlign w:val="bottom"/>
            <w:gridSpan w:val="2"/>
            <w:vMerge w:val="continue"/>
          </w:tcPr>
          <w:p>
            <w:pPr>
              <w:spacing w:after="0"/>
              <w:rPr>
                <w:sz w:val="20"/>
                <w:szCs w:val="20"/>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437,802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-1980565</wp:posOffset>
            </wp:positionV>
            <wp:extent cx="411480" cy="6089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411480" cy="6089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-934085</wp:posOffset>
            </wp:positionV>
            <wp:extent cx="411480" cy="909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411480" cy="909320"/>
                    </a:xfrm>
                    <a:prstGeom prst="rect">
                      <a:avLst/>
                    </a:prstGeom>
                    <a:noFill/>
                  </pic:spPr>
                </pic:pic>
              </a:graphicData>
            </a:graphic>
          </wp:anchor>
        </w:drawing>
      </w:r>
    </w:p>
    <w:p>
      <w:pPr>
        <w:spacing w:after="0" w:line="182" w:lineRule="exact"/>
        <w:rPr>
          <w:sz w:val="20"/>
          <w:szCs w:val="20"/>
          <w:color w:val="auto"/>
        </w:rPr>
      </w:pPr>
    </w:p>
    <w:p>
      <w:pPr>
        <w:ind w:left="5660" w:right="2020" w:hanging="5328"/>
        <w:spacing w:after="0" w:line="778" w:lineRule="auto"/>
        <w:tabs>
          <w:tab w:leader="none" w:pos="647"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 forma add back of one-time transaction costs expensed in the historical period ended September 30, 2018 of $45,480.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1)"/>
      <w:numFmt w:val="lowerLetter"/>
      <w:start w:val="5"/>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17" Type="http://schemas.openxmlformats.org/officeDocument/2006/relationships/hyperlink" Target="http://www.sec.gov/Archives/edgar/data/1448431/000121390018014013/f8k101718ex2-1_optimizerx.htm" TargetMode="External"/><Relationship Id="rId18" Type="http://schemas.openxmlformats.org/officeDocument/2006/relationships/hyperlink" Target="http://www.sec.gov/Archives/edgar/data/1448431/000121390018014013/f8k101718ex99-1_optimizer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2019-12-28T17:26:18Z</dcterms:created>
  <dcterms:modified xsi:type="dcterms:W3CDTF">2019-12-28T17:26:18Z</dcterms:modified>
</cp:coreProperties>
</file>