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201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Odence-Ford Marion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OPTIMIZERX CORPORATION 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OPRX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7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CCO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ROCHESTER   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48307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4,000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2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10,075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1,422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8,653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withheld by the Issuer to satisfy the Reporting Person's tax withholding obligations. Such withholding is treated as a disposition of securities under Section 16 of the Securities Exchange Act of 1934, as amended.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11, 2021, the reporting person was granted 20,000 restricted stock units, vesting in five equal annual installments beginning on the first anniversary of the grant 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Marion Odence-Ford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02/13/2023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5002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2023-02-14T10:35:09Z</dcterms:created>
  <dcterms:modified xsi:type="dcterms:W3CDTF">2023-02-14T10:35:09Z</dcterms:modified>
</cp:coreProperties>
</file>