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ind w:left="3780" w:right="2320" w:hanging="1452"/>
        <w:spacing w:after="0" w:line="481" w:lineRule="auto"/>
        <w:tabs>
          <w:tab w:leader="none" w:pos="252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2022</w:t>
      </w:r>
    </w:p>
    <w:p>
      <w:pPr>
        <w:spacing w:after="0" w:line="34" w:lineRule="exact"/>
        <w:rPr>
          <w:rFonts w:ascii="MS PGothic" w:cs="MS PGothic" w:eastAsia="MS PGothic" w:hAnsi="MS PGothic"/>
          <w:sz w:val="18"/>
          <w:szCs w:val="18"/>
          <w:color w:val="auto"/>
        </w:rPr>
      </w:pPr>
    </w:p>
    <w:p>
      <w:pPr>
        <w:ind w:left="2800" w:hanging="202"/>
        <w:spacing w:after="0"/>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For the transition period from __________ to __________</w:t>
            </w:r>
          </w:p>
        </w:tc>
        <w:tc>
          <w:tcPr>
            <w:tcW w:w="3460" w:type="dxa"/>
            <w:vAlign w:val="bottom"/>
          </w:tcPr>
          <w:p>
            <w:pPr>
              <w:spacing w:after="0"/>
              <w:rPr>
                <w:sz w:val="20"/>
                <w:szCs w:val="20"/>
                <w:color w:val="auto"/>
              </w:rPr>
            </w:pPr>
          </w:p>
        </w:tc>
      </w:tr>
      <w:tr>
        <w:trPr>
          <w:trHeight w:val="391"/>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460" w:type="dxa"/>
            <w:vAlign w:val="bottom"/>
          </w:tcPr>
          <w:p>
            <w:pPr>
              <w:spacing w:after="0"/>
              <w:rPr>
                <w:sz w:val="24"/>
                <w:szCs w:val="24"/>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180" w:type="dxa"/>
            <w:vAlign w:val="bottom"/>
            <w:gridSpan w:val="2"/>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439"/>
        </w:trPr>
        <w:tc>
          <w:tcPr>
            <w:tcW w:w="7780" w:type="dxa"/>
            <w:vAlign w:val="bottom"/>
            <w:gridSpan w:val="13"/>
          </w:tcPr>
          <w:p>
            <w:pPr>
              <w:jc w:val="center"/>
              <w:ind w:right="2240"/>
              <w:spacing w:after="0"/>
              <w:rPr>
                <w:sz w:val="20"/>
                <w:szCs w:val="20"/>
                <w:color w:val="auto"/>
              </w:rPr>
            </w:pPr>
            <w:r>
              <w:rPr>
                <w:rFonts w:ascii="Arial" w:cs="Arial" w:eastAsia="Arial" w:hAnsi="Arial"/>
                <w:sz w:val="18"/>
                <w:szCs w:val="18"/>
                <w:b w:val="1"/>
                <w:bCs w:val="1"/>
                <w:color w:val="auto"/>
                <w:w w:val="90"/>
              </w:rPr>
              <w:t>Nevada</w:t>
            </w:r>
          </w:p>
        </w:tc>
        <w:tc>
          <w:tcPr>
            <w:tcW w:w="3460" w:type="dxa"/>
            <w:vAlign w:val="bottom"/>
          </w:tcPr>
          <w:p>
            <w:pPr>
              <w:jc w:val="center"/>
              <w:ind w:right="19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ind w:right="40"/>
              <w:spacing w:after="0" w:line="201" w:lineRule="exact"/>
              <w:rPr>
                <w:sz w:val="20"/>
                <w:szCs w:val="20"/>
                <w:color w:val="auto"/>
              </w:rPr>
            </w:pPr>
            <w:r>
              <w:rPr>
                <w:rFonts w:ascii="Arial" w:cs="Arial" w:eastAsia="Arial" w:hAnsi="Arial"/>
                <w:sz w:val="18"/>
                <w:szCs w:val="18"/>
                <w:color w:val="auto"/>
                <w:w w:val="92"/>
              </w:rPr>
              <w:t>(State or other jurisdiction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tcPr>
          <w:p>
            <w:pPr>
              <w:jc w:val="center"/>
              <w:ind w:right="19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80" w:type="dxa"/>
            <w:vAlign w:val="bottom"/>
            <w:gridSpan w:val="13"/>
          </w:tcPr>
          <w:p>
            <w:pPr>
              <w:jc w:val="center"/>
              <w:ind w:right="226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9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780" w:type="dxa"/>
            <w:vAlign w:val="bottom"/>
            <w:gridSpan w:val="13"/>
          </w:tcPr>
          <w:p>
            <w:pPr>
              <w:jc w:val="center"/>
              <w:ind w:left="3370"/>
              <w:spacing w:after="0"/>
              <w:rPr>
                <w:sz w:val="20"/>
                <w:szCs w:val="20"/>
                <w:color w:val="auto"/>
              </w:rPr>
            </w:pPr>
            <w:r>
              <w:rPr>
                <w:rFonts w:ascii="Arial" w:cs="Arial" w:eastAsia="Arial" w:hAnsi="Arial"/>
                <w:sz w:val="18"/>
                <w:szCs w:val="18"/>
                <w:b w:val="1"/>
                <w:bCs w:val="1"/>
                <w:color w:val="auto"/>
                <w:w w:val="90"/>
              </w:rPr>
              <w:t>400 Water Street</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Suite 200</w:t>
            </w:r>
          </w:p>
        </w:tc>
        <w:tc>
          <w:tcPr>
            <w:tcW w:w="34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80" w:type="dxa"/>
            <w:vAlign w:val="bottom"/>
            <w:gridSpan w:val="11"/>
          </w:tcPr>
          <w:p>
            <w:pPr>
              <w:jc w:val="center"/>
              <w:ind w:right="1340"/>
              <w:spacing w:after="0" w:line="194" w:lineRule="exact"/>
              <w:rPr>
                <w:sz w:val="20"/>
                <w:szCs w:val="20"/>
                <w:color w:val="auto"/>
              </w:rPr>
            </w:pPr>
            <w:r>
              <w:rPr>
                <w:rFonts w:ascii="Arial" w:cs="Arial" w:eastAsia="Arial" w:hAnsi="Arial"/>
                <w:sz w:val="18"/>
                <w:szCs w:val="18"/>
                <w:b w:val="1"/>
                <w:bCs w:val="1"/>
                <w:color w:val="auto"/>
                <w:w w:val="92"/>
              </w:rPr>
              <w:t>Rochester, MI, 48307</w:t>
            </w:r>
          </w:p>
        </w:tc>
        <w:tc>
          <w:tcPr>
            <w:tcW w:w="3460" w:type="dxa"/>
            <w:vAlign w:val="bottom"/>
          </w:tcPr>
          <w:p>
            <w:pPr>
              <w:spacing w:after="0"/>
              <w:rPr>
                <w:sz w:val="16"/>
                <w:szCs w:val="16"/>
                <w:color w:val="auto"/>
              </w:rPr>
            </w:pPr>
          </w:p>
        </w:tc>
      </w:tr>
      <w:tr>
        <w:trPr>
          <w:trHeight w:val="20"/>
        </w:trPr>
        <w:tc>
          <w:tcPr>
            <w:tcW w:w="48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9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92"/>
        </w:trPr>
        <w:tc>
          <w:tcPr>
            <w:tcW w:w="6140" w:type="dxa"/>
            <w:vAlign w:val="bottom"/>
            <w:gridSpan w:val="8"/>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5"/>
            <w:shd w:val="clear" w:color="auto" w:fill="000000"/>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7780" w:type="dxa"/>
            <w:vAlign w:val="bottom"/>
            <w:gridSpan w:val="13"/>
          </w:tcPr>
          <w:p>
            <w:pPr>
              <w:jc w:val="center"/>
              <w:ind w:left="3370"/>
              <w:spacing w:after="0"/>
              <w:rPr>
                <w:sz w:val="20"/>
                <w:szCs w:val="20"/>
                <w:color w:val="auto"/>
              </w:rPr>
            </w:pPr>
            <w:r>
              <w:rPr>
                <w:rFonts w:ascii="Arial" w:cs="Arial" w:eastAsia="Arial" w:hAnsi="Arial"/>
                <w:sz w:val="18"/>
                <w:szCs w:val="18"/>
                <w:color w:val="auto"/>
                <w:w w:val="89"/>
              </w:rPr>
              <w:t>(Registrant’s telephone number, including area code)</w:t>
            </w:r>
          </w:p>
        </w:tc>
        <w:tc>
          <w:tcPr>
            <w:tcW w:w="3460" w:type="dxa"/>
            <w:vAlign w:val="bottom"/>
          </w:tcPr>
          <w:p>
            <w:pPr>
              <w:spacing w:after="0"/>
              <w:rPr>
                <w:sz w:val="20"/>
                <w:szCs w:val="20"/>
                <w:color w:val="auto"/>
              </w:rPr>
            </w:pPr>
          </w:p>
        </w:tc>
      </w:tr>
    </w:tbl>
    <w:p>
      <w:pPr>
        <w:spacing w:after="0" w:line="202"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under Section 12(b) of the Exchange Act:</w:t>
      </w: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40"/>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40"/>
              <w:spacing w:after="0"/>
              <w:rPr>
                <w:sz w:val="20"/>
                <w:szCs w:val="20"/>
                <w:color w:val="auto"/>
              </w:rPr>
            </w:pPr>
            <w:r>
              <w:rPr>
                <w:rFonts w:ascii="Arial" w:cs="Arial" w:eastAsia="Arial" w:hAnsi="Arial"/>
                <w:sz w:val="18"/>
                <w:szCs w:val="18"/>
                <w:color w:val="auto"/>
              </w:rPr>
              <w:t>Accelerated filer</w:t>
            </w:r>
          </w:p>
        </w:tc>
      </w:t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140"/>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Smaller reporting company</w:t>
            </w:r>
          </w:p>
        </w:tc>
      </w:tr>
      <w:tr>
        <w:trPr>
          <w:trHeight w:val="283"/>
        </w:trPr>
        <w:tc>
          <w:tcPr>
            <w:tcW w:w="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2100" w:type="dxa"/>
            <w:vAlign w:val="bottom"/>
          </w:tcPr>
          <w:p>
            <w:pPr>
              <w:ind w:left="140"/>
              <w:spacing w:after="0"/>
              <w:rPr>
                <w:sz w:val="20"/>
                <w:szCs w:val="20"/>
                <w:color w:val="auto"/>
              </w:rPr>
            </w:pPr>
            <w:r>
              <w:rPr>
                <w:rFonts w:ascii="Arial" w:cs="Arial" w:eastAsia="Arial" w:hAnsi="Arial"/>
                <w:sz w:val="18"/>
                <w:szCs w:val="18"/>
                <w:color w:val="auto"/>
                <w:w w:val="90"/>
              </w:rPr>
              <w:t>Emerging growth company</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17,152,717 common shares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gridSpan w:val="4"/>
          </w:tcPr>
          <w:p>
            <w:pPr>
              <w:jc w:val="center"/>
              <w:ind w:right="4050"/>
              <w:spacing w:after="0"/>
              <w:rPr>
                <w:sz w:val="20"/>
                <w:szCs w:val="20"/>
                <w:color w:val="auto"/>
              </w:rPr>
            </w:pPr>
            <w:r>
              <w:rPr>
                <w:rFonts w:ascii="Arial" w:cs="Arial" w:eastAsia="Arial" w:hAnsi="Arial"/>
                <w:sz w:val="18"/>
                <w:szCs w:val="18"/>
                <w:color w:val="auto"/>
                <w:w w:val="95"/>
              </w:rPr>
              <w:t>TABLE OF CONTENTS</w:t>
            </w:r>
          </w:p>
        </w:tc>
      </w:tr>
      <w:tr>
        <w:trPr>
          <w:trHeight w:val="439"/>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180" w:type="dxa"/>
            <w:vAlign w:val="bottom"/>
            <w:gridSpan w:val="5"/>
            <w:shd w:val="clear" w:color="auto" w:fill="CCEEFF"/>
          </w:tcPr>
          <w:p>
            <w:pPr>
              <w:jc w:val="center"/>
              <w:ind w:right="3950"/>
              <w:spacing w:after="0" w:line="176" w:lineRule="exact"/>
              <w:rPr>
                <w:sz w:val="20"/>
                <w:szCs w:val="20"/>
                <w:color w:val="auto"/>
              </w:rPr>
            </w:pPr>
            <w:r>
              <w:rPr>
                <w:rFonts w:ascii="Arial" w:cs="Arial" w:eastAsia="Arial" w:hAnsi="Arial"/>
                <w:sz w:val="18"/>
                <w:szCs w:val="18"/>
                <w:b w:val="1"/>
                <w:bCs w:val="1"/>
                <w:color w:val="0000EE"/>
              </w:rPr>
              <w:t>PART I – FINANCIAL INFORMATION</w:t>
            </w:r>
          </w:p>
        </w:tc>
      </w:tr>
      <w:tr>
        <w:trPr>
          <w:trHeight w:val="216"/>
        </w:trPr>
        <w:tc>
          <w:tcPr>
            <w:tcW w:w="7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9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3280" w:type="dxa"/>
            <w:vAlign w:val="bottom"/>
            <w:gridSpan w:val="4"/>
            <w:shd w:val="clear" w:color="auto" w:fill="CCEEFF"/>
          </w:tcPr>
          <w:p>
            <w:pPr>
              <w:ind w:left="240"/>
              <w:spacing w:after="0" w:line="176" w:lineRule="exact"/>
              <w:rPr>
                <w:sz w:val="20"/>
                <w:szCs w:val="20"/>
                <w:color w:val="auto"/>
              </w:rPr>
            </w:pPr>
            <w:r>
              <w:rPr>
                <w:rFonts w:ascii="Arial" w:cs="Arial" w:eastAsia="Arial" w:hAnsi="Arial"/>
                <w:sz w:val="18"/>
                <w:szCs w:val="18"/>
                <w:color w:val="0000EE"/>
              </w:rPr>
              <w:t>Controls and Procedures</w:t>
            </w:r>
          </w:p>
        </w:tc>
        <w:tc>
          <w:tcPr>
            <w:tcW w:w="7180" w:type="dxa"/>
            <w:vAlign w:val="bottom"/>
            <w:gridSpan w:val="5"/>
            <w:shd w:val="clear" w:color="auto" w:fill="CCEEFF"/>
          </w:tcPr>
          <w:p>
            <w:pPr>
              <w:jc w:val="center"/>
              <w:ind w:left="6090"/>
              <w:spacing w:after="0" w:line="176" w:lineRule="exact"/>
              <w:rPr>
                <w:sz w:val="20"/>
                <w:szCs w:val="20"/>
                <w:color w:val="auto"/>
              </w:rPr>
            </w:pPr>
            <w:r>
              <w:rPr>
                <w:rFonts w:ascii="Arial" w:cs="Arial" w:eastAsia="Arial" w:hAnsi="Arial"/>
                <w:sz w:val="18"/>
                <w:szCs w:val="18"/>
                <w:color w:val="auto"/>
                <w:w w:val="79"/>
              </w:rPr>
              <w:t>2</w:t>
            </w:r>
          </w:p>
        </w:tc>
      </w:tr>
      <w:tr>
        <w:trPr>
          <w:trHeight w:val="176"/>
        </w:trPr>
        <w:tc>
          <w:tcPr>
            <w:tcW w:w="78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2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080" w:type="dxa"/>
            <w:vAlign w:val="bottom"/>
            <w:tcBorders>
              <w:top w:val="single" w:sz="8" w:color="CCEEFF"/>
            </w:tcBorders>
            <w:gridSpan w:val="4"/>
          </w:tcPr>
          <w:p>
            <w:pPr>
              <w:jc w:val="center"/>
              <w:ind w:right="4050"/>
              <w:spacing w:after="0" w:line="176" w:lineRule="exact"/>
              <w:rPr>
                <w:sz w:val="20"/>
                <w:szCs w:val="20"/>
                <w:color w:val="auto"/>
              </w:rPr>
            </w:pPr>
            <w:r>
              <w:rPr>
                <w:rFonts w:ascii="Arial" w:cs="Arial" w:eastAsia="Arial" w:hAnsi="Arial"/>
                <w:sz w:val="18"/>
                <w:szCs w:val="18"/>
                <w:b w:val="1"/>
                <w:bCs w:val="1"/>
                <w:color w:val="0000EE"/>
              </w:rPr>
              <w:t>PART II — OTHER INFORMATION</w:t>
            </w: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3280" w:type="dxa"/>
            <w:vAlign w:val="bottom"/>
            <w:gridSpan w:val="4"/>
          </w:tcPr>
          <w:p>
            <w:pPr>
              <w:ind w:left="240"/>
              <w:spacing w:after="0" w:line="176" w:lineRule="exact"/>
              <w:rPr>
                <w:sz w:val="20"/>
                <w:szCs w:val="20"/>
                <w:color w:val="auto"/>
              </w:rPr>
            </w:pPr>
            <w:r>
              <w:rPr>
                <w:rFonts w:ascii="Arial" w:cs="Arial" w:eastAsia="Arial" w:hAnsi="Arial"/>
                <w:sz w:val="18"/>
                <w:szCs w:val="18"/>
                <w:color w:val="0000EE"/>
              </w:rPr>
              <w:t>Exhibits</w:t>
            </w:r>
          </w:p>
        </w:tc>
        <w:tc>
          <w:tcPr>
            <w:tcW w:w="7180" w:type="dxa"/>
            <w:vAlign w:val="bottom"/>
            <w:gridSpan w:val="5"/>
          </w:tcPr>
          <w:p>
            <w:pPr>
              <w:jc w:val="center"/>
              <w:ind w:left="6090"/>
              <w:spacing w:after="0" w:line="176" w:lineRule="exact"/>
              <w:rPr>
                <w:sz w:val="20"/>
                <w:szCs w:val="20"/>
                <w:color w:val="auto"/>
              </w:rPr>
            </w:pPr>
            <w:r>
              <w:rPr>
                <w:rFonts w:ascii="Arial" w:cs="Arial" w:eastAsia="Arial" w:hAnsi="Arial"/>
                <w:sz w:val="18"/>
                <w:szCs w:val="18"/>
                <w:color w:val="auto"/>
                <w:w w:val="79"/>
              </w:rPr>
              <w:t>3</w:t>
            </w:r>
          </w:p>
        </w:tc>
      </w:tr>
      <w:tr>
        <w:trPr>
          <w:trHeight w:val="676"/>
        </w:trPr>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4"/>
          </w:tcPr>
          <w:p>
            <w:pPr>
              <w:jc w:val="center"/>
              <w:ind w:right="407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88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filing this Amendment No. 1 on Form 10-Q/A (“Amendment No. 1”) to its Quarterly Report on Form 10-Q for the period ended September 30, 2022, originally filed with the Securities and Exchange Commission (SEC) on November 8, 2022 (the “Original 10-Q Filing”) to address management’s re-evaluation of disclosure controls and procedures and to reflect the identification of a material weakness. The material weakness did not result in any change to the Company’s consolidated financial statements as set forth in the Original 10-Q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is limited in scope to make the following changes to the Original 10-Q Filing:</w:t>
      </w:r>
    </w:p>
    <w:p>
      <w:pPr>
        <w:spacing w:after="0" w:line="225"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 - Item 4. Controls and Procedures to reflect management’s (i) re-evaluation of our disclosure controls and procedures, and (ii) identification of a material weakness.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amend Part II - Item 6. Exhibits to include the following currently dated documents: certifications from the Company’s Chief Executive Officer and Chief Financial Officer as required by Sections 302 and 906 of the Sarbanes Oxley Act of 2002, which certifications are filed herewith as Exhibits 31.1, 31.2, and 32.1.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Amendment No. 1 has not been updated or amended to give effect to any subsequent events beyond those that existed as of the original filing date and should thus be read in conjunction with the Original 10-Q Filing and any of the company’s other filings with the SEC subsequent to the Original 10-Q Filing, together with any amendments to those filings. Other than the filing of the information identified above, this amendment does not modify or update the disclosure in the Original 10-Q Filing in any way. Unless otherwise specified or the context otherwise requires, when used in this Amendment No. 1, the terms “we,” “our,” “us,” “OptimizeRx,” or the “Company” refer to OptimizeRx Corporation and its subsidiaries.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concurrently filing Amendment No. 1 to each of its (i) Annual Report on Form 10-K for the year ended December 31, 2021 and (ii) Quarterly Reports on Form 10-Q for the quarterly periods ended March 31, 2022 and June 30,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Original 10-Q Filing, 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at the time of the Original 10-Q Filing, our Chief Executive Officer and our Chief Financial Officer concluded that, as of the end of the period covered by this report, our disclosure controls and procedures, as defined in Rule 13a-15(e), were effective at the reasonable assurance level.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the filing of the Original 10-Q Filing and in connection with the filing of Amendment No. 1 to the Company’s Annual Report on Form 10-K for the year ended December 31, 2021, the Company’s management identified a material weakness in the Company’s internal control over financial reporting which is summarized below. As a result of its identification of the material weakness, management, under the supervision and with the participation of our Chief Executive Officer and our Chief Financial Officer, re-evaluated our disclosure controls and procedures and concluded such controls were not effective as of September 30, 2022.</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Notwithstanding the material weakness, our management has concluded, based on substantive testing performed, that the Company’s consolidated financial statements included in the Original 10-Q Filing fairly present in all material respects the Company's financial condition, results of operations and cash flows of the Company as of, and for, the periods presented in this report, in conformity with accounting principles generally accepted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Subsequent to the Original 10-Q Filing, our management identified the following material weakness existed as of September 30, 2022: inadequate controls to ensure that data received from third-party service organizations is complete and 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Remediation of Material Weakness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Management is actively engaged in the planning for, and implementation of, remediation efforts to address the material weakness identified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intends to implement the following remediation steps:</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will require each third-party service organization to provide a SOC-1, Type 2 report to us.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SOC-1, Type 2 report is not available, the Company will evaluate each third-party’s relevant system(s) and reporting directly through inquiry and substantive testing of such third-party’s control environment.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believes the measures described above will remediate the material weakness that we have identified.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that occurred during the quarter ended September 30, 2022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600" w:type="dxa"/>
            <w:vAlign w:val="bottom"/>
            <w:gridSpan w:val="2"/>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0" w:type="dxa"/>
            <w:vAlign w:val="bottom"/>
          </w:tcPr>
          <w:p>
            <w:pPr>
              <w:spacing w:after="0"/>
              <w:rPr>
                <w:sz w:val="1"/>
                <w:szCs w:val="1"/>
                <w:color w:val="auto"/>
              </w:rPr>
            </w:pPr>
          </w:p>
        </w:tc>
      </w:tr>
      <w:tr>
        <w:trPr>
          <w:trHeight w:val="432"/>
        </w:trPr>
        <w:tc>
          <w:tcPr>
            <w:tcW w:w="1126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0" w:type="dxa"/>
            <w:vAlign w:val="bottom"/>
          </w:tcPr>
          <w:p>
            <w:pPr>
              <w:spacing w:after="0"/>
              <w:rPr>
                <w:sz w:val="1"/>
                <w:szCs w:val="1"/>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9"/>
              </w:rPr>
              <w:t>of 2002</w:t>
            </w:r>
          </w:p>
        </w:tc>
        <w:tc>
          <w:tcPr>
            <w:tcW w:w="95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Arial" w:cs="Arial" w:eastAsia="Arial" w:hAnsi="Arial"/>
                <w:sz w:val="18"/>
                <w:szCs w:val="18"/>
                <w:color w:val="0000EE"/>
              </w:rPr>
              <w:t>of 2002</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0"/>
              </w:rPr>
              <w:t>of the Sarbanes-Oxley Act of 2002</w:t>
            </w:r>
          </w:p>
        </w:tc>
        <w:tc>
          <w:tcPr>
            <w:tcW w:w="758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3560" w:firstLine="8"/>
        <w:spacing w:after="0" w:line="509" w:lineRule="auto"/>
        <w:tabs>
          <w:tab w:leader="none" w:pos="1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Provided herewith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March 10, 2023</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18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September 30, 2022 of OptimizeRx Corp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40" w:right="20" w:hanging="168"/>
        <w:spacing w:after="0" w:line="308" w:lineRule="auto"/>
        <w:tabs>
          <w:tab w:leader="none" w:pos="5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40" w:hanging="168"/>
        <w:spacing w:after="0" w:line="263"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540" w:hanging="168"/>
        <w:spacing w:after="0" w:line="277"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hanging="168"/>
        <w:spacing w:after="0" w:line="277"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18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for the quarter ended September 30, 2022 of OptimizeRx Corp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40" w:right="20" w:hanging="168"/>
        <w:spacing w:after="0" w:line="308" w:lineRule="auto"/>
        <w:tabs>
          <w:tab w:leader="none" w:pos="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40" w:hanging="168"/>
        <w:spacing w:after="0" w:line="263"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540" w:hanging="168"/>
        <w:spacing w:after="0" w:line="277"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40" w:hanging="168"/>
        <w:spacing w:after="0" w:line="277"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By: Edward Stelmakh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10-Q/A for the quarter ended September 30,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2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84"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Febbo</w:t>
            </w:r>
          </w:p>
        </w:tc>
      </w:tr>
      <w:tr>
        <w:trPr>
          <w:trHeight w:val="195"/>
        </w:trPr>
        <w:tc>
          <w:tcPr>
            <w:tcW w:w="12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580" w:type="dxa"/>
            <w:vAlign w:val="bottom"/>
          </w:tcPr>
          <w:p>
            <w:pPr>
              <w:ind w:left="20"/>
              <w:spacing w:after="0" w:line="195" w:lineRule="exact"/>
              <w:rPr>
                <w:sz w:val="20"/>
                <w:szCs w:val="20"/>
                <w:color w:val="auto"/>
              </w:rPr>
            </w:pPr>
            <w:r>
              <w:rPr>
                <w:rFonts w:ascii="Arial" w:cs="Arial" w:eastAsia="Arial" w:hAnsi="Arial"/>
                <w:sz w:val="18"/>
                <w:szCs w:val="18"/>
                <w:color w:val="auto"/>
              </w:rPr>
              <w:t>Willian J Febbo</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Stelmakh</w:t>
            </w:r>
          </w:p>
        </w:tc>
      </w:tr>
      <w:tr>
        <w:trPr>
          <w:trHeight w:val="195"/>
        </w:trPr>
        <w:tc>
          <w:tcPr>
            <w:tcW w:w="12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580" w:type="dxa"/>
            <w:vAlign w:val="bottom"/>
          </w:tcPr>
          <w:p>
            <w:pPr>
              <w:ind w:left="20"/>
              <w:spacing w:after="0" w:line="195" w:lineRule="exact"/>
              <w:rPr>
                <w:sz w:val="20"/>
                <w:szCs w:val="20"/>
                <w:color w:val="auto"/>
              </w:rPr>
            </w:pPr>
            <w:r>
              <w:rPr>
                <w:rFonts w:ascii="Arial" w:cs="Arial" w:eastAsia="Arial" w:hAnsi="Arial"/>
                <w:sz w:val="18"/>
                <w:szCs w:val="18"/>
                <w:color w:val="auto"/>
              </w:rPr>
              <w:t>Edward Stelmakh</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Date:</w:t>
            </w:r>
          </w:p>
        </w:tc>
        <w:tc>
          <w:tcPr>
            <w:tcW w:w="2580" w:type="dxa"/>
            <w:vAlign w:val="bottom"/>
          </w:tcPr>
          <w:p>
            <w:pPr>
              <w:ind w:left="20"/>
              <w:spacing w:after="0"/>
              <w:rPr>
                <w:sz w:val="20"/>
                <w:szCs w:val="20"/>
                <w:color w:val="auto"/>
              </w:rPr>
            </w:pPr>
            <w:r>
              <w:rPr>
                <w:rFonts w:ascii="Arial" w:cs="Arial" w:eastAsia="Arial" w:hAnsi="Arial"/>
                <w:sz w:val="18"/>
                <w:szCs w:val="18"/>
                <w:color w:val="auto"/>
              </w:rPr>
              <w:t>March 10, 2023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2023-03-10T17:06:35Z</dcterms:created>
  <dcterms:modified xsi:type="dcterms:W3CDTF">2023-03-10T17:06:35Z</dcterms:modified>
</cp:coreProperties>
</file>