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13,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August 13, 2014, our Board of Directors appointed Dr. Jack Pinney to serve as a member of the Board of Directors.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Pinney is qualified to serve on our Board of Directors because of his expertise medicine and prescription practices of physicians. His initial term shall last until the next annual meeting of the shareholders or until removed by other action as allowed by the corporate bylaws.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arrangements or understandings between Mr. Pinney and any other persons pursuant to which such individual was selected as a Director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Dr. Pinney is covered by our previously disclosed Director Compensation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issued a press release on August 14, 2014 announcing the appointment of Mr. Pinney to the Board of Directors. A copy of the press release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050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920" w:type="dxa"/>
            <w:vAlign w:val="bottom"/>
          </w:tcPr>
          <w:p>
            <w:pPr>
              <w:ind w:left="100"/>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90"/>
        </w:trPr>
        <w:tc>
          <w:tcPr>
            <w:tcW w:w="920" w:type="dxa"/>
            <w:vAlign w:val="bottom"/>
          </w:tcPr>
          <w:p>
            <w:pPr>
              <w:ind w:left="100"/>
              <w:spacing w:after="0" w:line="190" w:lineRule="exact"/>
              <w:rPr>
                <w:sz w:val="20"/>
                <w:szCs w:val="20"/>
                <w:color w:val="auto"/>
              </w:rPr>
            </w:pPr>
            <w:r>
              <w:rPr>
                <w:rFonts w:ascii="Arial" w:cs="Arial" w:eastAsia="Arial" w:hAnsi="Arial"/>
                <w:sz w:val="18"/>
                <w:szCs w:val="18"/>
                <w:color w:val="auto"/>
              </w:rPr>
              <w:t>99.1</w:t>
            </w:r>
          </w:p>
        </w:tc>
        <w:tc>
          <w:tcPr>
            <w:tcW w:w="10500" w:type="dxa"/>
            <w:vAlign w:val="bottom"/>
            <w:gridSpan w:val="3"/>
          </w:tcPr>
          <w:p>
            <w:pPr>
              <w:ind w:left="220"/>
              <w:spacing w:after="0" w:line="190" w:lineRule="exact"/>
              <w:rPr>
                <w:sz w:val="20"/>
                <w:szCs w:val="20"/>
                <w:color w:val="auto"/>
              </w:rPr>
            </w:pPr>
            <w:r>
              <w:rPr>
                <w:rFonts w:ascii="Arial" w:cs="Arial" w:eastAsia="Arial" w:hAnsi="Arial"/>
                <w:sz w:val="18"/>
                <w:szCs w:val="18"/>
                <w:color w:val="0000EE"/>
              </w:rPr>
              <w:t>Press Release dated August 14, 2014, titled “OptimizeRx Announces Appointment of Jack T. Pinney, M.D. to Board of Directors</w:t>
            </w:r>
            <w:r>
              <w:rPr>
                <w:rFonts w:ascii="Arial" w:cs="Arial" w:eastAsia="Arial" w:hAnsi="Arial"/>
                <w:sz w:val="18"/>
                <w:szCs w:val="18"/>
                <w:color w:val="000000"/>
              </w:rPr>
              <w:t>”</w:t>
            </w:r>
          </w:p>
        </w:tc>
      </w:tr>
      <w:tr>
        <w:trPr>
          <w:trHeight w:val="210"/>
        </w:trPr>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300" w:type="dxa"/>
            <w:vAlign w:val="bottom"/>
            <w:tcBorders>
              <w:top w:val="single" w:sz="8" w:color="0000EE"/>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9520" w:type="dxa"/>
            <w:vAlign w:val="bottom"/>
            <w:gridSpan w:val="2"/>
          </w:tcPr>
          <w:p>
            <w:pPr>
              <w:jc w:val="right"/>
              <w:ind w:right="468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9"/>
                <w:szCs w:val="19"/>
                <w:color w:val="auto"/>
              </w:rPr>
            </w:pPr>
          </w:p>
        </w:tc>
      </w:tr>
    </w:tbl>
    <w:p>
      <w:pPr>
        <w:sectPr>
          <w:pgSz w:w="11900" w:h="16838" w:orient="portrait"/>
          <w:cols w:equalWidth="0" w:num="1">
            <w:col w:w="11420"/>
          </w:cols>
          <w:pgMar w:left="240" w:top="6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2014</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OptimizeRx Announces Appointment of Dr. Jack T. Pinney, M.D. to Board of Directors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ROCHESTER, MI -- (Marketwired) -- 08/14/14 -- OPTIMIZERx Corp. (OTCQB: OPRX) announced today that Dr. Jack Pinney has joined its Board of Directors.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 Pinney is a Board certified Family Physician with additional board certification in Sports Medicine. He is also an Assistant Clinical Professor of Family Medicine at Michigan State University College of Human Medicine, as well as Medical Director of Wellsport at MidMichigan Health Medical Center. In his role as an Assistant Clinical Professor Dr. Pinney teaches and mentors both Family Medicine Resident Physicians and medical students and won the Robert E. Bowsher award for clinical teaching in 2010. Dr. Pinney’s broad based medical knowledge and extensive experience in physician practice will bring an important user perspective to our Board of Directors. Dr. Pinney is graduate of the Wayne State University School of Medicine and the Family Practice Residency Program at MidMichigan Regional Medical Center.</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 am excited to have the opportunity to serve on the Board of OPRX and help to explore the many ways in which this platform can effectively assist health care providers in efficiently accessing patient savings and support program for their patients, thereby improving adherence and overall patient outcomes,” said Dr. Pinney.</w:t>
      </w:r>
    </w:p>
    <w:p>
      <w:pPr>
        <w:spacing w:after="0" w:line="1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look forward to having Dr. Pinney work with us to better understand how we can help more healthcare providers utilize our automated access to needed information and support for their practice and patients,” said Dave Harrell, CEO of OptimizeRx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OPTIMIZERx Corp. (OTCQB: OPRX) provides unique consumer and physician platforms to help patients better afford and comply with their medicines and healthcare products, while offering pharmaceutical and healthcare companies effective ways to expand patient awareness, access and adherence to their medications. For more information, please go to www.optimizerxcorp.com or www.samplemd.com.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Capital Markets Advisor</w:t>
      </w:r>
    </w:p>
    <w:p>
      <w:pPr>
        <w:spacing w:after="0" w:line="219" w:lineRule="auto"/>
        <w:rPr>
          <w:sz w:val="20"/>
          <w:szCs w:val="20"/>
          <w:color w:val="auto"/>
        </w:rPr>
      </w:pPr>
      <w:r>
        <w:rPr>
          <w:rFonts w:ascii="Arial" w:cs="Arial" w:eastAsia="Arial" w:hAnsi="Arial"/>
          <w:sz w:val="18"/>
          <w:szCs w:val="18"/>
          <w:color w:val="auto"/>
        </w:rPr>
        <w:t>Merriman Capital, Inc. *</w:t>
      </w:r>
    </w:p>
    <w:p>
      <w:pPr>
        <w:spacing w:after="0" w:line="219" w:lineRule="auto"/>
        <w:rPr>
          <w:sz w:val="20"/>
          <w:szCs w:val="20"/>
          <w:color w:val="auto"/>
        </w:rPr>
      </w:pPr>
      <w:r>
        <w:rPr>
          <w:rFonts w:ascii="Arial" w:cs="Arial" w:eastAsia="Arial" w:hAnsi="Arial"/>
          <w:sz w:val="18"/>
          <w:szCs w:val="18"/>
          <w:color w:val="auto"/>
        </w:rPr>
        <w:t>Douglas Rogers, Managing Director</w:t>
      </w:r>
    </w:p>
    <w:p>
      <w:pPr>
        <w:spacing w:after="0" w:line="219" w:lineRule="auto"/>
        <w:rPr>
          <w:sz w:val="20"/>
          <w:szCs w:val="20"/>
          <w:color w:val="auto"/>
        </w:rPr>
      </w:pPr>
      <w:r>
        <w:rPr>
          <w:rFonts w:ascii="Arial" w:cs="Arial" w:eastAsia="Arial" w:hAnsi="Arial"/>
          <w:sz w:val="18"/>
          <w:szCs w:val="18"/>
          <w:color w:val="auto"/>
        </w:rPr>
        <w:t>Head of Capital Markets Advisory Group</w:t>
      </w:r>
    </w:p>
    <w:p>
      <w:pPr>
        <w:spacing w:after="0" w:line="219" w:lineRule="auto"/>
        <w:rPr>
          <w:sz w:val="20"/>
          <w:szCs w:val="20"/>
          <w:color w:val="auto"/>
        </w:rPr>
      </w:pPr>
      <w:r>
        <w:rPr>
          <w:rFonts w:ascii="Arial" w:cs="Arial" w:eastAsia="Arial" w:hAnsi="Arial"/>
          <w:sz w:val="18"/>
          <w:szCs w:val="18"/>
          <w:color w:val="auto"/>
        </w:rPr>
        <w:t>drogers@merrimanco.com</w:t>
      </w:r>
    </w:p>
    <w:p>
      <w:pPr>
        <w:spacing w:after="0" w:line="220" w:lineRule="auto"/>
        <w:rPr>
          <w:sz w:val="20"/>
          <w:szCs w:val="20"/>
          <w:color w:val="auto"/>
        </w:rPr>
      </w:pPr>
      <w:r>
        <w:rPr>
          <w:rFonts w:ascii="Arial" w:cs="Arial" w:eastAsia="Arial" w:hAnsi="Arial"/>
          <w:sz w:val="18"/>
          <w:szCs w:val="18"/>
          <w:color w:val="auto"/>
        </w:rPr>
        <w:t>415-248-5612</w:t>
      </w:r>
    </w:p>
    <w:p>
      <w:pPr>
        <w:spacing w:after="0"/>
        <w:rPr>
          <w:sz w:val="20"/>
          <w:szCs w:val="20"/>
          <w:color w:val="auto"/>
        </w:rPr>
      </w:pPr>
      <w:r>
        <w:rPr>
          <w:rFonts w:ascii="Arial" w:cs="Arial" w:eastAsia="Arial" w:hAnsi="Arial"/>
          <w:sz w:val="18"/>
          <w:szCs w:val="18"/>
          <w:color w:val="auto"/>
        </w:rPr>
        <w:t>*Member FINRA / SIPC</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2019-12-07T20:09:42Z</dcterms:created>
  <dcterms:modified xsi:type="dcterms:W3CDTF">2019-12-07T20:09:42Z</dcterms:modified>
</cp:coreProperties>
</file>