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1060" w:right="3000" w:hanging="525"/>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170"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2008</w:t>
      </w:r>
    </w:p>
    <w:p>
      <w:pPr>
        <w:spacing w:after="0" w:line="225" w:lineRule="exact"/>
        <w:rPr>
          <w:sz w:val="24"/>
          <w:szCs w:val="24"/>
          <w:color w:val="auto"/>
        </w:rPr>
      </w:pPr>
    </w:p>
    <w:p>
      <w:pPr>
        <w:ind w:left="4620" w:right="2860" w:hanging="4085"/>
        <w:spacing w:after="0" w:line="544" w:lineRule="auto"/>
        <w:tabs>
          <w:tab w:leader="none" w:pos="6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UNDER SECTION 13 OR 15(d) OF THE SECURITIES EXCHANGE ACT For the transition period from _________ to ________</w:t>
      </w:r>
    </w:p>
    <w:p>
      <w:pPr>
        <w:spacing w:after="0" w:line="1" w:lineRule="exact"/>
        <w:rPr>
          <w:rFonts w:ascii="Arial" w:cs="Arial" w:eastAsia="Arial" w:hAnsi="Arial"/>
          <w:sz w:val="17"/>
          <w:szCs w:val="17"/>
          <w:color w:val="auto"/>
        </w:rPr>
      </w:pPr>
    </w:p>
    <w:p>
      <w:pPr>
        <w:ind w:left="5840"/>
        <w:spacing w:after="0"/>
        <w:rPr>
          <w:rFonts w:ascii="Arial" w:cs="Arial" w:eastAsia="Arial" w:hAnsi="Arial"/>
          <w:sz w:val="17"/>
          <w:szCs w:val="17"/>
          <w:color w:val="auto"/>
        </w:rPr>
      </w:pPr>
      <w:r>
        <w:rPr>
          <w:rFonts w:ascii="Arial" w:cs="Arial" w:eastAsia="Arial" w:hAnsi="Arial"/>
          <w:sz w:val="18"/>
          <w:szCs w:val="18"/>
          <w:color w:val="auto"/>
        </w:rPr>
        <w:t>Commission file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000-53605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840" w:type="dxa"/>
            <w:vAlign w:val="bottom"/>
            <w:gridSpan w:val="3"/>
          </w:tcPr>
          <w:p>
            <w:pPr>
              <w:spacing w:after="0"/>
              <w:rPr>
                <w:sz w:val="17"/>
                <w:szCs w:val="17"/>
                <w:color w:val="auto"/>
              </w:rPr>
            </w:pPr>
          </w:p>
        </w:tc>
        <w:tc>
          <w:tcPr>
            <w:tcW w:w="2120" w:type="dxa"/>
            <w:vAlign w:val="bottom"/>
            <w:gridSpan w:val="2"/>
          </w:tcPr>
          <w:p>
            <w:pPr>
              <w:spacing w:after="0"/>
              <w:rPr>
                <w:sz w:val="17"/>
                <w:szCs w:val="17"/>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26-1265381</w:t>
            </w:r>
          </w:p>
        </w:tc>
        <w:tc>
          <w:tcPr>
            <w:tcW w:w="10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6000" w:type="dxa"/>
            <w:vAlign w:val="bottom"/>
            <w:gridSpan w:val="9"/>
          </w:tcPr>
          <w:p>
            <w:pPr>
              <w:jc w:val="center"/>
              <w:ind w:right="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660" w:type="dxa"/>
            <w:vAlign w:val="bottom"/>
          </w:tcPr>
          <w:p>
            <w:pPr>
              <w:spacing w:after="0"/>
              <w:rPr>
                <w:sz w:val="24"/>
                <w:szCs w:val="24"/>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407 Sixth Street, Rochester, MI</w:t>
            </w:r>
          </w:p>
        </w:tc>
        <w:tc>
          <w:tcPr>
            <w:tcW w:w="1940" w:type="dxa"/>
            <w:vAlign w:val="bottom"/>
          </w:tcPr>
          <w:p>
            <w:pPr>
              <w:spacing w:after="0"/>
              <w:rPr>
                <w:sz w:val="24"/>
                <w:szCs w:val="24"/>
                <w:color w:val="auto"/>
              </w:rPr>
            </w:pPr>
          </w:p>
        </w:tc>
        <w:tc>
          <w:tcPr>
            <w:tcW w:w="2340" w:type="dxa"/>
            <w:vAlign w:val="bottom"/>
            <w:gridSpan w:val="3"/>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48307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6000" w:type="dxa"/>
            <w:vAlign w:val="bottom"/>
            <w:gridSpan w:val="9"/>
          </w:tcPr>
          <w:p>
            <w:pPr>
              <w:jc w:val="center"/>
              <w:ind w:right="260"/>
              <w:spacing w:after="0"/>
              <w:rPr>
                <w:sz w:val="20"/>
                <w:szCs w:val="20"/>
                <w:color w:val="auto"/>
              </w:rPr>
            </w:pPr>
            <w:r>
              <w:rPr>
                <w:rFonts w:ascii="Arial" w:cs="Arial" w:eastAsia="Arial" w:hAnsi="Arial"/>
                <w:sz w:val="18"/>
                <w:szCs w:val="18"/>
                <w:color w:val="auto"/>
                <w:w w:val="92"/>
              </w:rPr>
              <w:t>(Address of principal executive offices)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1140"/>
              <w:spacing w:after="0"/>
              <w:rPr>
                <w:sz w:val="20"/>
                <w:szCs w:val="20"/>
                <w:color w:val="auto"/>
              </w:rPr>
            </w:pPr>
            <w:r>
              <w:rPr>
                <w:rFonts w:ascii="Arial" w:cs="Arial" w:eastAsia="Arial" w:hAnsi="Arial"/>
                <w:sz w:val="18"/>
                <w:szCs w:val="18"/>
                <w:color w:val="auto"/>
                <w:w w:val="91"/>
              </w:rPr>
              <w:t>(Zip Code)</w:t>
            </w:r>
          </w:p>
        </w:tc>
      </w:tr>
      <w:tr>
        <w:trPr>
          <w:trHeight w:val="419"/>
        </w:trPr>
        <w:tc>
          <w:tcPr>
            <w:tcW w:w="6000" w:type="dxa"/>
            <w:vAlign w:val="bottom"/>
            <w:gridSpan w:val="9"/>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w:t>
            </w:r>
            <w:r>
              <w:rPr>
                <w:rFonts w:ascii="Arial" w:cs="Arial" w:eastAsia="Arial" w:hAnsi="Arial"/>
                <w:sz w:val="18"/>
                <w:szCs w:val="18"/>
                <w:b w:val="1"/>
                <w:bCs w:val="1"/>
                <w:u w:val="single" w:color="auto"/>
                <w:color w:val="auto"/>
              </w:rPr>
              <w:t>651.6558</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234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60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12(b) of the Exchange Act:</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1660" w:type="dxa"/>
            <w:vAlign w:val="bottom"/>
          </w:tcPr>
          <w:p>
            <w:pPr>
              <w:spacing w:after="0"/>
              <w:rPr>
                <w:sz w:val="24"/>
                <w:szCs w:val="24"/>
                <w:color w:val="auto"/>
              </w:rPr>
            </w:pPr>
          </w:p>
        </w:tc>
        <w:tc>
          <w:tcPr>
            <w:tcW w:w="4340" w:type="dxa"/>
            <w:vAlign w:val="bottom"/>
            <w:gridSpan w:val="8"/>
          </w:tcPr>
          <w:p>
            <w:pPr>
              <w:jc w:val="center"/>
              <w:ind w:right="1920"/>
              <w:spacing w:after="0"/>
              <w:rPr>
                <w:sz w:val="20"/>
                <w:szCs w:val="20"/>
                <w:color w:val="auto"/>
              </w:rPr>
            </w:pPr>
            <w:r>
              <w:rPr>
                <w:rFonts w:ascii="Arial" w:cs="Arial" w:eastAsia="Arial" w:hAnsi="Arial"/>
                <w:sz w:val="18"/>
                <w:szCs w:val="18"/>
                <w:color w:val="auto"/>
                <w:w w:val="90"/>
              </w:rPr>
              <w:t>Title of each class</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5"/>
          </w:tcPr>
          <w:p>
            <w:pPr>
              <w:jc w:val="center"/>
              <w:ind w:right="2940"/>
              <w:spacing w:after="0" w:line="194" w:lineRule="exact"/>
              <w:rPr>
                <w:sz w:val="20"/>
                <w:szCs w:val="20"/>
                <w:color w:val="auto"/>
              </w:rPr>
            </w:pPr>
            <w:r>
              <w:rPr>
                <w:rFonts w:ascii="Arial" w:cs="Arial" w:eastAsia="Arial" w:hAnsi="Arial"/>
                <w:sz w:val="18"/>
                <w:szCs w:val="18"/>
                <w:b w:val="1"/>
                <w:bCs w:val="1"/>
                <w:color w:val="auto"/>
                <w:w w:val="88"/>
              </w:rPr>
              <w:t>None</w:t>
            </w:r>
          </w:p>
        </w:tc>
        <w:tc>
          <w:tcPr>
            <w:tcW w:w="2000" w:type="dxa"/>
            <w:vAlign w:val="bottom"/>
          </w:tcPr>
          <w:p>
            <w:pPr>
              <w:spacing w:after="0"/>
              <w:rPr>
                <w:sz w:val="16"/>
                <w:szCs w:val="16"/>
                <w:color w:val="auto"/>
              </w:rPr>
            </w:pPr>
          </w:p>
        </w:tc>
        <w:tc>
          <w:tcPr>
            <w:tcW w:w="2160" w:type="dxa"/>
            <w:vAlign w:val="bottom"/>
            <w:gridSpan w:val="6"/>
          </w:tcPr>
          <w:p>
            <w:pPr>
              <w:jc w:val="center"/>
              <w:ind w:right="102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266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60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12(g) of the Exchange Act:</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$0.001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52" w:lineRule="exact"/>
        <w:rPr>
          <w:sz w:val="24"/>
          <w:szCs w:val="24"/>
          <w:color w:val="auto"/>
        </w:rPr>
      </w:pPr>
    </w:p>
    <w:p>
      <w:pPr>
        <w:spacing w:after="0"/>
        <w:tabs>
          <w:tab w:leader="none" w:pos="948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w:t>
      </w:r>
      <w:r>
        <w:rPr>
          <w:sz w:val="20"/>
          <w:szCs w:val="20"/>
          <w:color w:val="auto"/>
        </w:rPr>
        <w:tab/>
      </w:r>
      <w:r>
        <w:rPr>
          <w:rFonts w:ascii="Arial" w:cs="Arial" w:eastAsia="Arial" w:hAnsi="Arial"/>
          <w:sz w:val="18"/>
          <w:szCs w:val="18"/>
          <w:color w:val="auto"/>
        </w:rPr>
        <w:t>No [X]</w:t>
      </w:r>
    </w:p>
    <w:p>
      <w:pPr>
        <w:spacing w:after="0" w:line="252"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during the past 12 months (or for such shorter period that the registrant was required to file such reports), and (2) has been subject to such filing requirements for the past 90 days. Yes [X] No [ ]</w:t>
      </w:r>
    </w:p>
    <w:p>
      <w:pPr>
        <w:spacing w:after="0" w:line="15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Yes [X] No [ ]</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 Accelerated filer [ ] Non-accelerated filer [ ]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52"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$32,439,763</w:t>
      </w:r>
    </w:p>
    <w:p>
      <w:pPr>
        <w:spacing w:after="0" w:line="208"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12,262,958 as of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172085</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w w:val="80"/>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3"/>
          </w:tcPr>
          <w:p>
            <w:pPr>
              <w:jc w:val="center"/>
              <w:ind w:right="2760"/>
              <w:spacing w:after="0"/>
              <w:rPr>
                <w:sz w:val="20"/>
                <w:szCs w:val="20"/>
                <w:color w:val="auto"/>
              </w:rPr>
            </w:pPr>
            <w:r>
              <w:rPr>
                <w:rFonts w:ascii="Arial" w:cs="Arial" w:eastAsia="Arial" w:hAnsi="Arial"/>
                <w:sz w:val="18"/>
                <w:szCs w:val="18"/>
                <w:color w:val="auto"/>
                <w:w w:val="92"/>
              </w:rPr>
              <w:t>PART I</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vMerge w:val="restart"/>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Borders>
              <w:right w:val="single" w:sz="8" w:color="CBDBD1"/>
            </w:tcBorders>
            <w:gridSpan w:val="3"/>
            <w:shd w:val="clear" w:color="auto" w:fill="CBDBD1"/>
          </w:tcPr>
          <w:p>
            <w:pPr>
              <w:jc w:val="center"/>
              <w:ind w:left="3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5760" w:type="dxa"/>
            <w:vAlign w:val="bottom"/>
            <w:gridSpan w:val="2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280" w:type="dxa"/>
            <w:vAlign w:val="bottom"/>
            <w:gridSpan w:val="3"/>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Item 1B.</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280" w:type="dxa"/>
            <w:vAlign w:val="bottom"/>
            <w:tcBorders>
              <w:right w:val="single" w:sz="8" w:color="CBDBD1"/>
            </w:tcBorders>
            <w:gridSpan w:val="3"/>
            <w:shd w:val="clear" w:color="auto" w:fill="CBDBD1"/>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00" w:type="dxa"/>
            <w:vAlign w:val="bottom"/>
            <w:gridSpan w:val="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60" w:type="dxa"/>
            <w:vAlign w:val="bottom"/>
            <w:gridSpan w:val="2"/>
          </w:tcPr>
          <w:p>
            <w:pPr>
              <w:spacing w:after="0"/>
              <w:rPr>
                <w:sz w:val="15"/>
                <w:szCs w:val="15"/>
                <w:color w:val="auto"/>
              </w:rPr>
            </w:pPr>
          </w:p>
        </w:tc>
        <w:tc>
          <w:tcPr>
            <w:tcW w:w="2040" w:type="dxa"/>
            <w:vAlign w:val="bottom"/>
            <w:gridSpan w:val="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3720" w:type="dxa"/>
            <w:vAlign w:val="bottom"/>
            <w:gridSpan w:val="17"/>
          </w:tcPr>
          <w:p>
            <w:pPr>
              <w:spacing w:after="0"/>
              <w:rPr>
                <w:sz w:val="15"/>
                <w:szCs w:val="15"/>
                <w:color w:val="auto"/>
              </w:rPr>
            </w:pPr>
          </w:p>
        </w:tc>
        <w:tc>
          <w:tcPr>
            <w:tcW w:w="280" w:type="dxa"/>
            <w:vAlign w:val="bottom"/>
            <w:gridSpan w:val="3"/>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3.</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280" w:type="dxa"/>
            <w:vAlign w:val="bottom"/>
            <w:tcBorders>
              <w:right w:val="single" w:sz="8" w:color="CBDBD1"/>
            </w:tcBorders>
            <w:gridSpan w:val="3"/>
            <w:shd w:val="clear" w:color="auto" w:fill="CBDBD1"/>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Borders>
              <w:right w:val="single" w:sz="8" w:color="CBDBD1"/>
            </w:tcBorders>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4.</w:t>
              </w:r>
            </w:hyperlink>
          </w:p>
        </w:tc>
        <w:tc>
          <w:tcPr>
            <w:tcW w:w="5760" w:type="dxa"/>
            <w:vAlign w:val="bottom"/>
            <w:gridSpan w:val="2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280" w:type="dxa"/>
            <w:vAlign w:val="bottom"/>
            <w:gridSpan w:val="3"/>
          </w:tcPr>
          <w:p>
            <w:pPr>
              <w:jc w:val="center"/>
              <w:ind w:left="3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gridSpan w:val="9"/>
          </w:tcPr>
          <w:p>
            <w:pPr>
              <w:jc w:val="center"/>
              <w:ind w:right="720"/>
              <w:spacing w:after="0"/>
              <w:rPr>
                <w:sz w:val="20"/>
                <w:szCs w:val="20"/>
                <w:color w:val="auto"/>
              </w:rPr>
            </w:pPr>
            <w:r>
              <w:rPr>
                <w:rFonts w:ascii="Arial" w:cs="Arial" w:eastAsia="Arial" w:hAnsi="Arial"/>
                <w:sz w:val="18"/>
                <w:szCs w:val="18"/>
                <w:color w:val="auto"/>
                <w:w w:val="95"/>
              </w:rPr>
              <w:t>PART II</w:t>
            </w:r>
          </w:p>
        </w:tc>
        <w:tc>
          <w:tcPr>
            <w:tcW w:w="20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vMerge w:val="restart"/>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5.</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Market for Registrant’s Common Equity and Related Stockholder Matters and</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300" w:type="dxa"/>
            <w:vAlign w:val="bottom"/>
            <w:tcBorders>
              <w:top w:val="single" w:sz="8" w:color="0000EE"/>
            </w:tcBorders>
            <w:shd w:val="clear" w:color="auto" w:fill="CBDBD1"/>
          </w:tcPr>
          <w:p>
            <w:pPr>
              <w:spacing w:after="0"/>
              <w:rPr>
                <w:sz w:val="18"/>
                <w:szCs w:val="18"/>
                <w:color w:val="auto"/>
              </w:rPr>
            </w:pPr>
          </w:p>
        </w:tc>
        <w:tc>
          <w:tcPr>
            <w:tcW w:w="160" w:type="dxa"/>
            <w:vAlign w:val="bottom"/>
            <w:tcBorders>
              <w:top w:val="single" w:sz="8" w:color="0000EE"/>
            </w:tcBorders>
            <w:shd w:val="clear" w:color="auto" w:fill="CBDBD1"/>
          </w:tcPr>
          <w:p>
            <w:pPr>
              <w:spacing w:after="0"/>
              <w:rPr>
                <w:sz w:val="18"/>
                <w:szCs w:val="18"/>
                <w:color w:val="auto"/>
              </w:rPr>
            </w:pPr>
          </w:p>
        </w:tc>
        <w:tc>
          <w:tcPr>
            <w:tcW w:w="20" w:type="dxa"/>
            <w:vAlign w:val="bottom"/>
            <w:tcBorders>
              <w:top w:val="single" w:sz="8" w:color="0000EE"/>
            </w:tcBorders>
            <w:shd w:val="clear" w:color="auto" w:fill="CBDBD1"/>
          </w:tcPr>
          <w:p>
            <w:pPr>
              <w:spacing w:after="0"/>
              <w:rPr>
                <w:sz w:val="18"/>
                <w:szCs w:val="18"/>
                <w:color w:val="auto"/>
              </w:rPr>
            </w:pPr>
          </w:p>
        </w:tc>
        <w:tc>
          <w:tcPr>
            <w:tcW w:w="80" w:type="dxa"/>
            <w:vAlign w:val="bottom"/>
            <w:tcBorders>
              <w:top w:val="single" w:sz="8" w:color="CBDBD1"/>
            </w:tcBorders>
            <w:shd w:val="clear" w:color="auto" w:fill="CBDBD1"/>
          </w:tcPr>
          <w:p>
            <w:pPr>
              <w:spacing w:after="0"/>
              <w:rPr>
                <w:sz w:val="18"/>
                <w:szCs w:val="18"/>
                <w:color w:val="auto"/>
              </w:rPr>
            </w:pPr>
          </w:p>
        </w:tc>
        <w:tc>
          <w:tcPr>
            <w:tcW w:w="20" w:type="dxa"/>
            <w:vAlign w:val="bottom"/>
            <w:tcBorders>
              <w:top w:val="single" w:sz="8" w:color="CBDBD1"/>
            </w:tcBorders>
            <w:shd w:val="clear" w:color="auto" w:fill="CBDBD1"/>
          </w:tcPr>
          <w:p>
            <w:pPr>
              <w:spacing w:after="0"/>
              <w:rPr>
                <w:sz w:val="18"/>
                <w:szCs w:val="18"/>
                <w:color w:val="auto"/>
              </w:rPr>
            </w:pPr>
          </w:p>
        </w:tc>
        <w:tc>
          <w:tcPr>
            <w:tcW w:w="20" w:type="dxa"/>
            <w:vAlign w:val="bottom"/>
            <w:tcBorders>
              <w:top w:val="single" w:sz="8" w:color="CBDBD1"/>
            </w:tcBorders>
            <w:shd w:val="clear" w:color="auto" w:fill="CBDBD1"/>
          </w:tcPr>
          <w:p>
            <w:pPr>
              <w:spacing w:after="0"/>
              <w:rPr>
                <w:sz w:val="18"/>
                <w:szCs w:val="18"/>
                <w:color w:val="auto"/>
              </w:rPr>
            </w:pPr>
          </w:p>
        </w:tc>
        <w:tc>
          <w:tcPr>
            <w:tcW w:w="20" w:type="dxa"/>
            <w:vAlign w:val="bottom"/>
            <w:tcBorders>
              <w:top w:val="single" w:sz="8" w:color="CBDBD1"/>
            </w:tcBorders>
            <w:shd w:val="clear" w:color="auto" w:fill="CBDBD1"/>
          </w:tcPr>
          <w:p>
            <w:pPr>
              <w:spacing w:after="0"/>
              <w:rPr>
                <w:sz w:val="18"/>
                <w:szCs w:val="18"/>
                <w:color w:val="auto"/>
              </w:rPr>
            </w:pPr>
          </w:p>
        </w:tc>
        <w:tc>
          <w:tcPr>
            <w:tcW w:w="40" w:type="dxa"/>
            <w:vAlign w:val="bottom"/>
            <w:tcBorders>
              <w:top w:val="single" w:sz="8" w:color="CBDBD1"/>
            </w:tcBorders>
            <w:shd w:val="clear" w:color="auto" w:fill="CBDBD1"/>
          </w:tcPr>
          <w:p>
            <w:pPr>
              <w:spacing w:after="0"/>
              <w:rPr>
                <w:sz w:val="18"/>
                <w:szCs w:val="18"/>
                <w:color w:val="auto"/>
              </w:rPr>
            </w:pPr>
          </w:p>
        </w:tc>
        <w:tc>
          <w:tcPr>
            <w:tcW w:w="5740" w:type="dxa"/>
            <w:vAlign w:val="bottom"/>
            <w:tcBorders>
              <w:top w:val="single" w:sz="8" w:color="0000EE"/>
            </w:tcBorders>
            <w:gridSpan w:val="25"/>
            <w:shd w:val="clear" w:color="auto" w:fill="CBDBD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Issuer Purchases of Equity Securities</w:t>
              </w:r>
            </w:hyperlink>
          </w:p>
        </w:tc>
        <w:tc>
          <w:tcPr>
            <w:tcW w:w="20" w:type="dxa"/>
            <w:vAlign w:val="bottom"/>
            <w:tcBorders>
              <w:top w:val="single" w:sz="8" w:color="CBDBD1"/>
            </w:tcBorders>
            <w:shd w:val="clear" w:color="auto" w:fill="CBDBD1"/>
          </w:tcPr>
          <w:p>
            <w:pPr>
              <w:spacing w:after="0"/>
              <w:rPr>
                <w:sz w:val="18"/>
                <w:szCs w:val="18"/>
                <w:color w:val="auto"/>
              </w:rPr>
            </w:pPr>
          </w:p>
        </w:tc>
        <w:tc>
          <w:tcPr>
            <w:tcW w:w="20" w:type="dxa"/>
            <w:vAlign w:val="bottom"/>
            <w:tcBorders>
              <w:top w:val="single" w:sz="8" w:color="CBDBD1"/>
            </w:tcBorders>
            <w:shd w:val="clear" w:color="auto" w:fill="CBDBD1"/>
          </w:tcPr>
          <w:p>
            <w:pPr>
              <w:spacing w:after="0"/>
              <w:rPr>
                <w:sz w:val="18"/>
                <w:szCs w:val="18"/>
                <w:color w:val="auto"/>
              </w:rPr>
            </w:pPr>
          </w:p>
        </w:tc>
        <w:tc>
          <w:tcPr>
            <w:tcW w:w="140" w:type="dxa"/>
            <w:vAlign w:val="bottom"/>
            <w:tcBorders>
              <w:top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0000EE"/>
              <w:right w:val="single" w:sz="8" w:color="CBDBD1"/>
            </w:tcBorders>
            <w:shd w:val="clear" w:color="auto" w:fill="CBDBD1"/>
          </w:tcPr>
          <w:p>
            <w:pPr>
              <w:spacing w:after="0"/>
              <w:rPr>
                <w:sz w:val="18"/>
                <w:szCs w:val="18"/>
                <w:color w:val="auto"/>
              </w:rPr>
            </w:pPr>
          </w:p>
        </w:tc>
        <w:tc>
          <w:tcPr>
            <w:tcW w:w="120" w:type="dxa"/>
            <w:vAlign w:val="bottom"/>
            <w:tcBorders>
              <w:top w:val="single" w:sz="8" w:color="CBDBD1"/>
              <w:right w:val="single" w:sz="8" w:color="CBDBD1"/>
            </w:tcBorders>
            <w:shd w:val="clear" w:color="auto" w:fill="CBDBD1"/>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660" w:type="dxa"/>
            <w:vAlign w:val="bottom"/>
            <w:tcBorders>
              <w:top w:val="single" w:sz="8" w:color="CBDBD1"/>
            </w:tcBorders>
            <w:gridSpan w:val="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6.</w:t>
              </w:r>
            </w:hyperlink>
          </w:p>
        </w:tc>
        <w:tc>
          <w:tcPr>
            <w:tcW w:w="26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3100" w:type="dxa"/>
            <w:vAlign w:val="bottom"/>
            <w:tcBorders>
              <w:top w:val="single" w:sz="8" w:color="CBDBD1"/>
            </w:tcBorders>
            <w:gridSpan w:val="12"/>
          </w:tcPr>
          <w:p>
            <w:pPr>
              <w:spacing w:after="0"/>
              <w:rPr>
                <w:sz w:val="15"/>
                <w:szCs w:val="15"/>
                <w:color w:val="auto"/>
              </w:rPr>
            </w:pPr>
          </w:p>
        </w:tc>
        <w:tc>
          <w:tcPr>
            <w:tcW w:w="400" w:type="dxa"/>
            <w:vAlign w:val="bottom"/>
            <w:tcBorders>
              <w:top w:val="single" w:sz="8" w:color="CBDBD1"/>
            </w:tcBorders>
            <w:gridSpan w:val="4"/>
          </w:tcPr>
          <w:p>
            <w:pPr>
              <w:jc w:val="center"/>
              <w:ind w:right="20"/>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7.</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Management’s Discussion and Analysis of Financial Condition and Results of</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300" w:type="dxa"/>
            <w:vAlign w:val="bottom"/>
            <w:tcBorders>
              <w:top w:val="single" w:sz="8" w:color="0000EE"/>
            </w:tcBorders>
            <w:shd w:val="clear" w:color="auto" w:fill="CBDBD1"/>
          </w:tcPr>
          <w:p>
            <w:pPr>
              <w:spacing w:after="0"/>
              <w:rPr>
                <w:sz w:val="17"/>
                <w:szCs w:val="17"/>
                <w:color w:val="auto"/>
              </w:rPr>
            </w:pPr>
          </w:p>
        </w:tc>
        <w:tc>
          <w:tcPr>
            <w:tcW w:w="160" w:type="dxa"/>
            <w:vAlign w:val="bottom"/>
            <w:tcBorders>
              <w:top w:val="single" w:sz="8" w:color="0000EE"/>
            </w:tcBorders>
            <w:shd w:val="clear" w:color="auto" w:fill="CBDBD1"/>
          </w:tcPr>
          <w:p>
            <w:pPr>
              <w:spacing w:after="0"/>
              <w:rPr>
                <w:sz w:val="17"/>
                <w:szCs w:val="17"/>
                <w:color w:val="auto"/>
              </w:rPr>
            </w:pPr>
          </w:p>
        </w:tc>
        <w:tc>
          <w:tcPr>
            <w:tcW w:w="20" w:type="dxa"/>
            <w:vAlign w:val="bottom"/>
            <w:tcBorders>
              <w:top w:val="single" w:sz="8" w:color="0000EE"/>
            </w:tcBorders>
            <w:shd w:val="clear" w:color="auto" w:fill="CBDBD1"/>
          </w:tcPr>
          <w:p>
            <w:pPr>
              <w:spacing w:after="0"/>
              <w:rPr>
                <w:sz w:val="17"/>
                <w:szCs w:val="17"/>
                <w:color w:val="auto"/>
              </w:rPr>
            </w:pPr>
          </w:p>
        </w:tc>
        <w:tc>
          <w:tcPr>
            <w:tcW w:w="80" w:type="dxa"/>
            <w:vAlign w:val="bottom"/>
            <w:tcBorders>
              <w:top w:val="single" w:sz="8" w:color="CBDBD1"/>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20" w:type="dxa"/>
            <w:vAlign w:val="bottom"/>
            <w:tcBorders>
              <w:top w:val="single" w:sz="8" w:color="CBDBD1"/>
            </w:tcBorders>
            <w:shd w:val="clear" w:color="auto" w:fill="CBDBD1"/>
          </w:tcPr>
          <w:p>
            <w:pPr>
              <w:spacing w:after="0"/>
              <w:rPr>
                <w:sz w:val="17"/>
                <w:szCs w:val="17"/>
                <w:color w:val="auto"/>
              </w:rPr>
            </w:pPr>
          </w:p>
        </w:tc>
        <w:tc>
          <w:tcPr>
            <w:tcW w:w="40" w:type="dxa"/>
            <w:vAlign w:val="bottom"/>
            <w:tcBorders>
              <w:top w:val="single" w:sz="8" w:color="CBDBD1"/>
            </w:tcBorders>
            <w:shd w:val="clear" w:color="auto" w:fill="CBDBD1"/>
          </w:tcPr>
          <w:p>
            <w:pPr>
              <w:spacing w:after="0"/>
              <w:rPr>
                <w:sz w:val="17"/>
                <w:szCs w:val="17"/>
                <w:color w:val="auto"/>
              </w:rPr>
            </w:pPr>
          </w:p>
        </w:tc>
        <w:tc>
          <w:tcPr>
            <w:tcW w:w="5760" w:type="dxa"/>
            <w:vAlign w:val="bottom"/>
            <w:tcBorders>
              <w:top w:val="single" w:sz="8" w:color="0000EE"/>
            </w:tcBorders>
            <w:gridSpan w:val="26"/>
            <w:shd w:val="clear" w:color="auto" w:fill="CBDBD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Operations</w:t>
              </w:r>
            </w:hyperlink>
          </w:p>
        </w:tc>
        <w:tc>
          <w:tcPr>
            <w:tcW w:w="20" w:type="dxa"/>
            <w:vAlign w:val="bottom"/>
            <w:tcBorders>
              <w:top w:val="single" w:sz="8" w:color="CBDBD1"/>
            </w:tcBorders>
            <w:shd w:val="clear" w:color="auto" w:fill="CBDBD1"/>
          </w:tcPr>
          <w:p>
            <w:pPr>
              <w:spacing w:after="0"/>
              <w:rPr>
                <w:sz w:val="17"/>
                <w:szCs w:val="17"/>
                <w:color w:val="auto"/>
              </w:rPr>
            </w:pPr>
          </w:p>
        </w:tc>
        <w:tc>
          <w:tcPr>
            <w:tcW w:w="140" w:type="dxa"/>
            <w:vAlign w:val="bottom"/>
            <w:tcBorders>
              <w:top w:val="single" w:sz="8" w:color="CBDBD1"/>
              <w:right w:val="single" w:sz="8" w:color="CBDBD1"/>
            </w:tcBorders>
            <w:shd w:val="clear" w:color="auto" w:fill="CBDBD1"/>
          </w:tcPr>
          <w:p>
            <w:pPr>
              <w:spacing w:after="0"/>
              <w:rPr>
                <w:sz w:val="17"/>
                <w:szCs w:val="17"/>
                <w:color w:val="auto"/>
              </w:rPr>
            </w:pPr>
          </w:p>
        </w:tc>
        <w:tc>
          <w:tcPr>
            <w:tcW w:w="120" w:type="dxa"/>
            <w:vAlign w:val="bottom"/>
            <w:tcBorders>
              <w:top w:val="single" w:sz="8" w:color="0000EE"/>
              <w:right w:val="single" w:sz="8" w:color="CBDBD1"/>
            </w:tcBorders>
            <w:shd w:val="clear" w:color="auto" w:fill="CBDBD1"/>
          </w:tcPr>
          <w:p>
            <w:pPr>
              <w:spacing w:after="0"/>
              <w:rPr>
                <w:sz w:val="17"/>
                <w:szCs w:val="17"/>
                <w:color w:val="auto"/>
              </w:rPr>
            </w:pPr>
          </w:p>
        </w:tc>
        <w:tc>
          <w:tcPr>
            <w:tcW w:w="120" w:type="dxa"/>
            <w:vAlign w:val="bottom"/>
            <w:tcBorders>
              <w:top w:val="single" w:sz="8" w:color="CBDBD1"/>
              <w:right w:val="single" w:sz="8" w:color="CBDBD1"/>
            </w:tcBorders>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7A.</w:t>
              </w:r>
            </w:hyperlink>
          </w:p>
        </w:tc>
        <w:tc>
          <w:tcPr>
            <w:tcW w:w="5760" w:type="dxa"/>
            <w:vAlign w:val="bottom"/>
            <w:gridSpan w:val="26"/>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8.</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Financial Statements and Supplementary Data</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9.</w:t>
              </w:r>
            </w:hyperlink>
          </w:p>
        </w:tc>
        <w:tc>
          <w:tcPr>
            <w:tcW w:w="5760" w:type="dxa"/>
            <w:vAlign w:val="bottom"/>
            <w:gridSpan w:val="26"/>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Changes In and Disagreements With Accountants on Accounting and Financial</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Disclosure</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CBDBD1"/>
          </w:tcPr>
          <w:p>
            <w:pPr>
              <w:spacing w:after="0" w:line="20" w:lineRule="exact"/>
              <w:rPr>
                <w:sz w:val="1"/>
                <w:szCs w:val="1"/>
                <w:color w:val="auto"/>
              </w:rPr>
            </w:pPr>
          </w:p>
        </w:tc>
        <w:tc>
          <w:tcPr>
            <w:tcW w:w="100" w:type="dxa"/>
            <w:vAlign w:val="bottom"/>
            <w:gridSpan w:val="2"/>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80" w:type="dxa"/>
            <w:vAlign w:val="bottom"/>
            <w:gridSpan w:val="3"/>
            <w:shd w:val="clear" w:color="auto" w:fill="CBDBD1"/>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34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200" w:type="dxa"/>
            <w:vAlign w:val="bottom"/>
            <w:shd w:val="clear" w:color="auto" w:fill="CBDBD1"/>
          </w:tcPr>
          <w:p>
            <w:pPr>
              <w:spacing w:after="0" w:line="20" w:lineRule="exact"/>
              <w:rPr>
                <w:sz w:val="1"/>
                <w:szCs w:val="1"/>
                <w:color w:val="auto"/>
              </w:rPr>
            </w:pPr>
          </w:p>
        </w:tc>
        <w:tc>
          <w:tcPr>
            <w:tcW w:w="20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100" w:type="dxa"/>
            <w:vAlign w:val="bottom"/>
            <w:shd w:val="clear" w:color="auto" w:fill="CBDBD1"/>
          </w:tcPr>
          <w:p>
            <w:pPr>
              <w:spacing w:after="0" w:line="20" w:lineRule="exact"/>
              <w:rPr>
                <w:sz w:val="1"/>
                <w:szCs w:val="1"/>
                <w:color w:val="auto"/>
              </w:rPr>
            </w:pPr>
          </w:p>
        </w:tc>
        <w:tc>
          <w:tcPr>
            <w:tcW w:w="4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260" w:type="dxa"/>
            <w:vAlign w:val="bottom"/>
            <w:shd w:val="clear" w:color="auto" w:fill="CBDBD1"/>
          </w:tcPr>
          <w:p>
            <w:pPr>
              <w:spacing w:after="0" w:line="20" w:lineRule="exact"/>
              <w:rPr>
                <w:sz w:val="1"/>
                <w:szCs w:val="1"/>
                <w:color w:val="auto"/>
              </w:rPr>
            </w:pPr>
          </w:p>
        </w:tc>
        <w:tc>
          <w:tcPr>
            <w:tcW w:w="440" w:type="dxa"/>
            <w:vAlign w:val="bottom"/>
            <w:shd w:val="clear" w:color="auto" w:fill="CBDBD1"/>
          </w:tcPr>
          <w:p>
            <w:pPr>
              <w:spacing w:after="0" w:line="20" w:lineRule="exact"/>
              <w:rPr>
                <w:sz w:val="1"/>
                <w:szCs w:val="1"/>
                <w:color w:val="auto"/>
              </w:rPr>
            </w:pPr>
          </w:p>
        </w:tc>
        <w:tc>
          <w:tcPr>
            <w:tcW w:w="340" w:type="dxa"/>
            <w:vAlign w:val="bottom"/>
            <w:shd w:val="clear" w:color="auto" w:fill="CBDBD1"/>
          </w:tcPr>
          <w:p>
            <w:pPr>
              <w:spacing w:after="0" w:line="20" w:lineRule="exact"/>
              <w:rPr>
                <w:sz w:val="1"/>
                <w:szCs w:val="1"/>
                <w:color w:val="auto"/>
              </w:rPr>
            </w:pPr>
          </w:p>
        </w:tc>
        <w:tc>
          <w:tcPr>
            <w:tcW w:w="260" w:type="dxa"/>
            <w:vAlign w:val="bottom"/>
            <w:shd w:val="clear" w:color="auto" w:fill="CBDBD1"/>
          </w:tcPr>
          <w:p>
            <w:pPr>
              <w:spacing w:after="0" w:line="20" w:lineRule="exact"/>
              <w:rPr>
                <w:sz w:val="1"/>
                <w:szCs w:val="1"/>
                <w:color w:val="auto"/>
              </w:rPr>
            </w:pPr>
          </w:p>
        </w:tc>
        <w:tc>
          <w:tcPr>
            <w:tcW w:w="1100" w:type="dxa"/>
            <w:vAlign w:val="bottom"/>
            <w:shd w:val="clear" w:color="auto" w:fill="CBDBD1"/>
          </w:tcPr>
          <w:p>
            <w:pPr>
              <w:spacing w:after="0" w:line="20" w:lineRule="exact"/>
              <w:rPr>
                <w:sz w:val="1"/>
                <w:szCs w:val="1"/>
                <w:color w:val="auto"/>
              </w:rPr>
            </w:pPr>
          </w:p>
        </w:tc>
        <w:tc>
          <w:tcPr>
            <w:tcW w:w="28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20" w:type="dxa"/>
            <w:vAlign w:val="bottom"/>
            <w:shd w:val="clear" w:color="auto" w:fill="CBDBD1"/>
          </w:tcPr>
          <w:p>
            <w:pPr>
              <w:spacing w:after="0" w:line="20" w:lineRule="exact"/>
              <w:rPr>
                <w:sz w:val="1"/>
                <w:szCs w:val="1"/>
                <w:color w:val="auto"/>
              </w:rPr>
            </w:pPr>
          </w:p>
        </w:tc>
        <w:tc>
          <w:tcPr>
            <w:tcW w:w="140" w:type="dxa"/>
            <w:vAlign w:val="bottom"/>
            <w:tcBorders>
              <w:right w:val="single" w:sz="8" w:color="0000EE"/>
            </w:tcBorders>
            <w:shd w:val="clear" w:color="auto" w:fill="CBDBD1"/>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660" w:type="dxa"/>
            <w:vAlign w:val="bottom"/>
            <w:gridSpan w:val="8"/>
            <w:shd w:val="clear" w:color="auto" w:fill="CBDBD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9A(T).</w:t>
              </w:r>
            </w:hyperlink>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42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460" w:type="dxa"/>
            <w:vAlign w:val="bottom"/>
            <w:tcBorders>
              <w:right w:val="single" w:sz="8" w:color="CBDBD1"/>
            </w:tcBorders>
            <w:shd w:val="clear" w:color="auto" w:fill="CBDBD1"/>
          </w:tcPr>
          <w:p>
            <w:pPr>
              <w:spacing w:after="0"/>
              <w:rPr>
                <w:sz w:val="17"/>
                <w:szCs w:val="17"/>
                <w:color w:val="auto"/>
              </w:rPr>
            </w:pPr>
          </w:p>
        </w:tc>
        <w:tc>
          <w:tcPr>
            <w:tcW w:w="2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260" w:type="dxa"/>
            <w:vAlign w:val="bottom"/>
            <w:shd w:val="clear" w:color="auto" w:fill="CBDBD1"/>
          </w:tcPr>
          <w:p>
            <w:pPr>
              <w:spacing w:after="0"/>
              <w:rPr>
                <w:sz w:val="17"/>
                <w:szCs w:val="17"/>
                <w:color w:val="auto"/>
              </w:rPr>
            </w:pPr>
          </w:p>
        </w:tc>
        <w:tc>
          <w:tcPr>
            <w:tcW w:w="440" w:type="dxa"/>
            <w:vAlign w:val="bottom"/>
            <w:shd w:val="clear" w:color="auto" w:fill="CBDBD1"/>
          </w:tcPr>
          <w:p>
            <w:pPr>
              <w:spacing w:after="0"/>
              <w:rPr>
                <w:sz w:val="17"/>
                <w:szCs w:val="17"/>
                <w:color w:val="auto"/>
              </w:rPr>
            </w:pPr>
          </w:p>
        </w:tc>
        <w:tc>
          <w:tcPr>
            <w:tcW w:w="340" w:type="dxa"/>
            <w:vAlign w:val="bottom"/>
            <w:shd w:val="clear" w:color="auto" w:fill="CBDBD1"/>
          </w:tcPr>
          <w:p>
            <w:pPr>
              <w:spacing w:after="0"/>
              <w:rPr>
                <w:sz w:val="17"/>
                <w:szCs w:val="17"/>
                <w:color w:val="auto"/>
              </w:rPr>
            </w:pPr>
          </w:p>
        </w:tc>
        <w:tc>
          <w:tcPr>
            <w:tcW w:w="26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28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140" w:type="dxa"/>
            <w:vAlign w:val="bottom"/>
            <w:tcBorders>
              <w:right w:val="single" w:sz="8" w:color="CBDBD1"/>
            </w:tcBorders>
            <w:shd w:val="clear" w:color="auto" w:fill="CBDBD1"/>
          </w:tcPr>
          <w:p>
            <w:pPr>
              <w:spacing w:after="0"/>
              <w:rPr>
                <w:sz w:val="17"/>
                <w:szCs w:val="17"/>
                <w:color w:val="auto"/>
              </w:rPr>
            </w:pPr>
          </w:p>
        </w:tc>
        <w:tc>
          <w:tcPr>
            <w:tcW w:w="120" w:type="dxa"/>
            <w:vAlign w:val="bottom"/>
            <w:tcBorders>
              <w:right w:val="single" w:sz="8" w:color="CBDBD1"/>
            </w:tcBorders>
            <w:shd w:val="clear" w:color="auto" w:fill="CBDBD1"/>
          </w:tcPr>
          <w:p>
            <w:pPr>
              <w:spacing w:after="0"/>
              <w:rPr>
                <w:sz w:val="17"/>
                <w:szCs w:val="17"/>
                <w:color w:val="auto"/>
              </w:rPr>
            </w:pPr>
          </w:p>
        </w:tc>
        <w:tc>
          <w:tcPr>
            <w:tcW w:w="120" w:type="dxa"/>
            <w:vAlign w:val="bottom"/>
            <w:tcBorders>
              <w:right w:val="single" w:sz="8" w:color="CBDBD1"/>
            </w:tcBorders>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9B.</w:t>
              </w:r>
            </w:hyperlink>
          </w:p>
        </w:tc>
        <w:tc>
          <w:tcPr>
            <w:tcW w:w="5760" w:type="dxa"/>
            <w:vAlign w:val="bottom"/>
            <w:gridSpan w:val="26"/>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15"/>
          </w:tcPr>
          <w:p>
            <w:pPr>
              <w:jc w:val="center"/>
              <w:ind w:right="2700"/>
              <w:spacing w:after="0"/>
              <w:rPr>
                <w:sz w:val="20"/>
                <w:szCs w:val="20"/>
                <w:color w:val="auto"/>
              </w:rPr>
            </w:pPr>
            <w:r>
              <w:rPr>
                <w:rFonts w:ascii="Arial" w:cs="Arial" w:eastAsia="Arial" w:hAnsi="Arial"/>
                <w:sz w:val="18"/>
                <w:szCs w:val="18"/>
                <w:color w:val="auto"/>
                <w:w w:val="96"/>
              </w:rPr>
              <w:t>PART III</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vMerge w:val="restart"/>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Item 10.</w:t>
              </w:r>
            </w:hyperlink>
          </w:p>
        </w:tc>
        <w:tc>
          <w:tcPr>
            <w:tcW w:w="80" w:type="dxa"/>
            <w:vAlign w:val="bottom"/>
            <w:gridSpan w:val="3"/>
            <w:shd w:val="clear" w:color="auto" w:fill="CBDBD1"/>
          </w:tcPr>
          <w:p>
            <w:pPr>
              <w:spacing w:after="0"/>
              <w:rPr>
                <w:sz w:val="15"/>
                <w:szCs w:val="15"/>
                <w:color w:val="auto"/>
              </w:rPr>
            </w:pPr>
          </w:p>
        </w:tc>
        <w:tc>
          <w:tcPr>
            <w:tcW w:w="4100" w:type="dxa"/>
            <w:vAlign w:val="bottom"/>
            <w:gridSpan w:val="22"/>
            <w:shd w:val="clear" w:color="auto" w:fill="CBDBD1"/>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Directors, Executive Officers and Corporate Governance</w:t>
              </w:r>
            </w:hyperlink>
          </w:p>
        </w:tc>
        <w:tc>
          <w:tcPr>
            <w:tcW w:w="1660" w:type="dxa"/>
            <w:vAlign w:val="bottom"/>
            <w:gridSpan w:val="4"/>
            <w:shd w:val="clear" w:color="auto" w:fill="CBDBD1"/>
          </w:tcPr>
          <w:p>
            <w:pPr>
              <w:spacing w:after="0"/>
              <w:rPr>
                <w:sz w:val="15"/>
                <w:szCs w:val="15"/>
                <w:color w:val="auto"/>
              </w:rPr>
            </w:pPr>
          </w:p>
        </w:tc>
        <w:tc>
          <w:tcPr>
            <w:tcW w:w="160" w:type="dxa"/>
            <w:vAlign w:val="bottom"/>
            <w:tcBorders>
              <w:right w:val="single" w:sz="8" w:color="CBDBD1"/>
            </w:tcBorders>
            <w:gridSpan w:val="2"/>
            <w:shd w:val="clear" w:color="auto" w:fill="CBDBD1"/>
          </w:tcPr>
          <w:p>
            <w:pPr>
              <w:spacing w:after="0"/>
              <w:rPr>
                <w:sz w:val="15"/>
                <w:szCs w:val="15"/>
                <w:color w:val="auto"/>
              </w:rPr>
            </w:pPr>
          </w:p>
        </w:tc>
        <w:tc>
          <w:tcPr>
            <w:tcW w:w="240" w:type="dxa"/>
            <w:vAlign w:val="bottom"/>
            <w:tcBorders>
              <w:right w:val="single" w:sz="8" w:color="CBDBD1"/>
            </w:tcBorders>
            <w:gridSpan w:val="2"/>
            <w:shd w:val="clear" w:color="auto" w:fill="CBDBD1"/>
          </w:tcPr>
          <w:p>
            <w:pPr>
              <w:jc w:val="center"/>
              <w:ind w:right="120"/>
              <w:spacing w:after="0"/>
              <w:rPr>
                <w:rFonts w:ascii="Arial" w:cs="Arial" w:eastAsia="Arial" w:hAnsi="Arial"/>
                <w:sz w:val="15"/>
                <w:szCs w:val="15"/>
                <w:color w:val="0000EE"/>
                <w:w w:val="71"/>
              </w:rPr>
            </w:pPr>
            <w:hyperlink w:anchor="page19">
              <w:r>
                <w:rPr>
                  <w:rFonts w:ascii="Arial" w:cs="Arial" w:eastAsia="Arial" w:hAnsi="Arial"/>
                  <w:sz w:val="15"/>
                  <w:szCs w:val="15"/>
                  <w:color w:val="0000EE"/>
                  <w:w w:val="71"/>
                </w:rPr>
                <w:t>19</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tcPr>
          <w:p>
            <w:pPr>
              <w:spacing w:after="0" w:line="17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Item 11.</w:t>
              </w:r>
            </w:hyperlink>
          </w:p>
        </w:tc>
        <w:tc>
          <w:tcPr>
            <w:tcW w:w="80" w:type="dxa"/>
            <w:vAlign w:val="bottom"/>
            <w:gridSpan w:val="3"/>
          </w:tcPr>
          <w:p>
            <w:pPr>
              <w:spacing w:after="0"/>
              <w:rPr>
                <w:sz w:val="15"/>
                <w:szCs w:val="15"/>
                <w:color w:val="auto"/>
              </w:rPr>
            </w:pPr>
          </w:p>
        </w:tc>
        <w:tc>
          <w:tcPr>
            <w:tcW w:w="4100" w:type="dxa"/>
            <w:vAlign w:val="bottom"/>
            <w:gridSpan w:val="2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Executive Compensation</w:t>
              </w:r>
            </w:hyperlink>
          </w:p>
        </w:tc>
        <w:tc>
          <w:tcPr>
            <w:tcW w:w="166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jc w:val="center"/>
              <w:ind w:right="120"/>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22</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Item 12.</w:t>
              </w:r>
            </w:hyperlink>
          </w:p>
        </w:tc>
        <w:tc>
          <w:tcPr>
            <w:tcW w:w="80" w:type="dxa"/>
            <w:vAlign w:val="bottom"/>
            <w:gridSpan w:val="3"/>
            <w:shd w:val="clear" w:color="auto" w:fill="CBDBD1"/>
          </w:tcPr>
          <w:p>
            <w:pPr>
              <w:spacing w:after="0"/>
              <w:rPr>
                <w:sz w:val="15"/>
                <w:szCs w:val="15"/>
                <w:color w:val="auto"/>
              </w:rPr>
            </w:pPr>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 and</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300" w:type="dxa"/>
            <w:vAlign w:val="bottom"/>
            <w:tcBorders>
              <w:top w:val="single" w:sz="8" w:color="0000EE"/>
              <w:bottom w:val="single" w:sz="8" w:color="CBDBD1"/>
            </w:tcBorders>
            <w:shd w:val="clear" w:color="auto" w:fill="CBDBD1"/>
          </w:tcPr>
          <w:p>
            <w:pPr>
              <w:spacing w:after="0"/>
              <w:rPr>
                <w:sz w:val="18"/>
                <w:szCs w:val="18"/>
                <w:color w:val="auto"/>
              </w:rPr>
            </w:pPr>
          </w:p>
        </w:tc>
        <w:tc>
          <w:tcPr>
            <w:tcW w:w="160" w:type="dxa"/>
            <w:vAlign w:val="bottom"/>
            <w:tcBorders>
              <w:top w:val="single" w:sz="8" w:color="0000EE"/>
              <w:bottom w:val="single" w:sz="8" w:color="CBDBD1"/>
            </w:tcBorders>
            <w:shd w:val="clear" w:color="auto" w:fill="CBDBD1"/>
          </w:tcPr>
          <w:p>
            <w:pPr>
              <w:spacing w:after="0"/>
              <w:rPr>
                <w:sz w:val="18"/>
                <w:szCs w:val="18"/>
                <w:color w:val="auto"/>
              </w:rPr>
            </w:pPr>
          </w:p>
        </w:tc>
        <w:tc>
          <w:tcPr>
            <w:tcW w:w="20" w:type="dxa"/>
            <w:vAlign w:val="bottom"/>
            <w:tcBorders>
              <w:top w:val="single" w:sz="8" w:color="0000EE"/>
              <w:bottom w:val="single" w:sz="8" w:color="CBDBD1"/>
            </w:tcBorders>
            <w:shd w:val="clear" w:color="auto" w:fill="CBDBD1"/>
          </w:tcPr>
          <w:p>
            <w:pPr>
              <w:spacing w:after="0"/>
              <w:rPr>
                <w:sz w:val="18"/>
                <w:szCs w:val="18"/>
                <w:color w:val="auto"/>
              </w:rPr>
            </w:pPr>
          </w:p>
        </w:tc>
        <w:tc>
          <w:tcPr>
            <w:tcW w:w="80" w:type="dxa"/>
            <w:vAlign w:val="bottom"/>
            <w:tcBorders>
              <w:top w:val="single" w:sz="8" w:color="0000EE"/>
              <w:bottom w:val="single" w:sz="8" w:color="CBDBD1"/>
            </w:tcBorders>
            <w:shd w:val="clear" w:color="auto" w:fill="CBDBD1"/>
          </w:tcPr>
          <w:p>
            <w:pPr>
              <w:spacing w:after="0"/>
              <w:rPr>
                <w:sz w:val="18"/>
                <w:szCs w:val="18"/>
                <w:color w:val="auto"/>
              </w:rPr>
            </w:pPr>
          </w:p>
        </w:tc>
        <w:tc>
          <w:tcPr>
            <w:tcW w:w="20" w:type="dxa"/>
            <w:vAlign w:val="bottom"/>
            <w:tcBorders>
              <w:top w:val="single" w:sz="8" w:color="0000EE"/>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40" w:type="dxa"/>
            <w:vAlign w:val="bottom"/>
            <w:tcBorders>
              <w:top w:val="single" w:sz="8" w:color="CBDBD1"/>
              <w:bottom w:val="single" w:sz="8" w:color="CBDBD1"/>
            </w:tcBorders>
            <w:shd w:val="clear" w:color="auto" w:fill="CBDBD1"/>
          </w:tcPr>
          <w:p>
            <w:pPr>
              <w:spacing w:after="0"/>
              <w:rPr>
                <w:sz w:val="18"/>
                <w:szCs w:val="18"/>
                <w:color w:val="auto"/>
              </w:rPr>
            </w:pPr>
          </w:p>
        </w:tc>
        <w:tc>
          <w:tcPr>
            <w:tcW w:w="2060" w:type="dxa"/>
            <w:vAlign w:val="bottom"/>
            <w:tcBorders>
              <w:top w:val="single" w:sz="8" w:color="0000EE"/>
              <w:bottom w:val="single" w:sz="8" w:color="0000EE"/>
            </w:tcBorders>
            <w:gridSpan w:val="10"/>
            <w:shd w:val="clear" w:color="auto" w:fill="CBDBD1"/>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Related Stockholder Matters</w:t>
              </w:r>
            </w:hyperlink>
          </w:p>
        </w:tc>
        <w:tc>
          <w:tcPr>
            <w:tcW w:w="3680" w:type="dxa"/>
            <w:vAlign w:val="bottom"/>
            <w:tcBorders>
              <w:top w:val="single" w:sz="8" w:color="0000EE"/>
              <w:bottom w:val="single" w:sz="8" w:color="CBDBD1"/>
            </w:tcBorders>
            <w:gridSpan w:val="15"/>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20" w:type="dxa"/>
            <w:vAlign w:val="bottom"/>
            <w:tcBorders>
              <w:top w:val="single" w:sz="8" w:color="CBDBD1"/>
              <w:bottom w:val="single" w:sz="8" w:color="CBDBD1"/>
            </w:tcBorders>
            <w:shd w:val="clear" w:color="auto" w:fill="CBDBD1"/>
          </w:tcPr>
          <w:p>
            <w:pPr>
              <w:spacing w:after="0"/>
              <w:rPr>
                <w:sz w:val="18"/>
                <w:szCs w:val="18"/>
                <w:color w:val="auto"/>
              </w:rPr>
            </w:pPr>
          </w:p>
        </w:tc>
        <w:tc>
          <w:tcPr>
            <w:tcW w:w="14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0000EE"/>
              <w:bottom w:val="single" w:sz="8" w:color="CBDBD1"/>
              <w:right w:val="single" w:sz="8" w:color="CBDBD1"/>
            </w:tcBorders>
            <w:shd w:val="clear" w:color="auto" w:fill="CBDBD1"/>
          </w:tcPr>
          <w:p>
            <w:pPr>
              <w:spacing w:after="0"/>
              <w:rPr>
                <w:sz w:val="18"/>
                <w:szCs w:val="18"/>
                <w:color w:val="auto"/>
              </w:rPr>
            </w:pPr>
          </w:p>
        </w:tc>
        <w:tc>
          <w:tcPr>
            <w:tcW w:w="120" w:type="dxa"/>
            <w:vAlign w:val="bottom"/>
            <w:tcBorders>
              <w:top w:val="single" w:sz="8" w:color="CBDBD1"/>
              <w:bottom w:val="single" w:sz="8" w:color="CBDBD1"/>
              <w:right w:val="single" w:sz="8" w:color="CBDBD1"/>
            </w:tcBorders>
            <w:shd w:val="clear" w:color="auto" w:fill="CBDBD1"/>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660" w:type="dxa"/>
            <w:vAlign w:val="bottom"/>
            <w:gridSpan w:val="8"/>
          </w:tcPr>
          <w:p>
            <w:pPr>
              <w:spacing w:after="0" w:line="17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13.</w:t>
              </w:r>
            </w:hyperlink>
          </w:p>
        </w:tc>
        <w:tc>
          <w:tcPr>
            <w:tcW w:w="5760" w:type="dxa"/>
            <w:vAlign w:val="bottom"/>
            <w:gridSpan w:val="26"/>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Certain Relationships and Related Transactions, and Director Independence</w:t>
              </w:r>
            </w:hyperlink>
          </w:p>
        </w:tc>
        <w:tc>
          <w:tcPr>
            <w:tcW w:w="400" w:type="dxa"/>
            <w:vAlign w:val="bottom"/>
            <w:gridSpan w:val="4"/>
          </w:tcPr>
          <w:p>
            <w:pPr>
              <w:jc w:val="center"/>
              <w:ind w:right="2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580" w:type="dxa"/>
            <w:vAlign w:val="bottom"/>
            <w:gridSpan w:val="5"/>
            <w:shd w:val="clear" w:color="auto" w:fill="CBDBD1"/>
          </w:tcPr>
          <w:p>
            <w:pPr>
              <w:spacing w:after="0" w:line="17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Item 14.</w:t>
              </w:r>
            </w:hyperlink>
          </w:p>
        </w:tc>
        <w:tc>
          <w:tcPr>
            <w:tcW w:w="80" w:type="dxa"/>
            <w:vAlign w:val="bottom"/>
            <w:gridSpan w:val="3"/>
            <w:shd w:val="clear" w:color="auto" w:fill="CBDBD1"/>
          </w:tcPr>
          <w:p>
            <w:pPr>
              <w:spacing w:after="0"/>
              <w:rPr>
                <w:sz w:val="15"/>
                <w:szCs w:val="15"/>
                <w:color w:val="auto"/>
              </w:rPr>
            </w:pPr>
          </w:p>
        </w:tc>
        <w:tc>
          <w:tcPr>
            <w:tcW w:w="2860" w:type="dxa"/>
            <w:vAlign w:val="bottom"/>
            <w:gridSpan w:val="15"/>
            <w:shd w:val="clear" w:color="auto" w:fill="CBDBD1"/>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Principal Accountant Fees and Services</w:t>
              </w:r>
            </w:hyperlink>
          </w:p>
        </w:tc>
        <w:tc>
          <w:tcPr>
            <w:tcW w:w="2900" w:type="dxa"/>
            <w:vAlign w:val="bottom"/>
            <w:gridSpan w:val="11"/>
            <w:shd w:val="clear" w:color="auto" w:fill="CBDBD1"/>
          </w:tcPr>
          <w:p>
            <w:pPr>
              <w:spacing w:after="0"/>
              <w:rPr>
                <w:sz w:val="15"/>
                <w:szCs w:val="15"/>
                <w:color w:val="auto"/>
              </w:rPr>
            </w:pPr>
          </w:p>
        </w:tc>
        <w:tc>
          <w:tcPr>
            <w:tcW w:w="160" w:type="dxa"/>
            <w:vAlign w:val="bottom"/>
            <w:tcBorders>
              <w:right w:val="single" w:sz="8" w:color="CBDBD1"/>
            </w:tcBorders>
            <w:gridSpan w:val="2"/>
            <w:shd w:val="clear" w:color="auto" w:fill="CBDBD1"/>
          </w:tcPr>
          <w:p>
            <w:pPr>
              <w:spacing w:after="0"/>
              <w:rPr>
                <w:sz w:val="15"/>
                <w:szCs w:val="15"/>
                <w:color w:val="auto"/>
              </w:rPr>
            </w:pPr>
          </w:p>
        </w:tc>
        <w:tc>
          <w:tcPr>
            <w:tcW w:w="240" w:type="dxa"/>
            <w:vAlign w:val="bottom"/>
            <w:tcBorders>
              <w:right w:val="single" w:sz="8" w:color="CBDBD1"/>
            </w:tcBorders>
            <w:gridSpan w:val="2"/>
            <w:shd w:val="clear" w:color="auto" w:fill="CBDBD1"/>
          </w:tcPr>
          <w:p>
            <w:pPr>
              <w:jc w:val="center"/>
              <w:ind w:right="120"/>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26</w:t>
              </w:r>
            </w:hyperlink>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0000EE"/>
            </w:tcBorders>
            <w:shd w:val="clear" w:color="auto" w:fill="CBDBD1"/>
          </w:tcPr>
          <w:p>
            <w:pPr>
              <w:spacing w:after="0" w:line="20" w:lineRule="exact"/>
              <w:rPr>
                <w:sz w:val="1"/>
                <w:szCs w:val="1"/>
                <w:color w:val="auto"/>
              </w:rPr>
            </w:pPr>
          </w:p>
        </w:tc>
        <w:tc>
          <w:tcPr>
            <w:tcW w:w="4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44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11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15"/>
          </w:tcPr>
          <w:p>
            <w:pPr>
              <w:jc w:val="center"/>
              <w:ind w:right="2700"/>
              <w:spacing w:after="0"/>
              <w:rPr>
                <w:sz w:val="20"/>
                <w:szCs w:val="20"/>
                <w:color w:val="auto"/>
              </w:rPr>
            </w:pPr>
            <w:r>
              <w:rPr>
                <w:rFonts w:ascii="Arial" w:cs="Arial" w:eastAsia="Arial" w:hAnsi="Arial"/>
                <w:sz w:val="18"/>
                <w:szCs w:val="18"/>
                <w:color w:val="auto"/>
                <w:w w:val="94"/>
              </w:rPr>
              <w:t>PART IV</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vMerge w:val="restart"/>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vMerge w:val="continue"/>
          </w:tcPr>
          <w:p>
            <w:pPr>
              <w:spacing w:after="0"/>
              <w:rPr>
                <w:sz w:val="17"/>
                <w:szCs w:val="17"/>
                <w:color w:val="auto"/>
              </w:rPr>
            </w:pPr>
          </w:p>
        </w:tc>
        <w:tc>
          <w:tcPr>
            <w:tcW w:w="660" w:type="dxa"/>
            <w:vAlign w:val="bottom"/>
            <w:gridSpan w:val="8"/>
            <w:shd w:val="clear" w:color="auto" w:fill="CBDBD1"/>
          </w:tcPr>
          <w:p>
            <w:pPr>
              <w:spacing w:after="0" w:line="17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Item 15.</w:t>
              </w:r>
            </w:hyperlink>
          </w:p>
        </w:tc>
        <w:tc>
          <w:tcPr>
            <w:tcW w:w="5760" w:type="dxa"/>
            <w:vAlign w:val="bottom"/>
            <w:gridSpan w:val="26"/>
            <w:shd w:val="clear" w:color="auto" w:fill="CBDBD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 Financial Statement Schedules</w:t>
              </w:r>
            </w:hyperlink>
          </w:p>
        </w:tc>
        <w:tc>
          <w:tcPr>
            <w:tcW w:w="400" w:type="dxa"/>
            <w:vAlign w:val="bottom"/>
            <w:tcBorders>
              <w:right w:val="single" w:sz="8" w:color="CBDBD1"/>
            </w:tcBorders>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3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2860" w:type="dxa"/>
            <w:vAlign w:val="bottom"/>
            <w:tcBorders>
              <w:top w:val="single" w:sz="8" w:color="0000EE"/>
            </w:tcBorders>
            <w:gridSpan w:val="15"/>
          </w:tcPr>
          <w:p>
            <w:pPr>
              <w:jc w:val="center"/>
              <w:ind w:left="251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260" w:type="dxa"/>
            <w:vAlign w:val="bottom"/>
            <w:tcBorders>
              <w:top w:val="single" w:sz="8" w:color="CBDBD1"/>
            </w:tcBorders>
          </w:tcPr>
          <w:p>
            <w:pPr>
              <w:spacing w:after="0"/>
              <w:rPr>
                <w:sz w:val="24"/>
                <w:szCs w:val="24"/>
                <w:color w:val="auto"/>
              </w:rPr>
            </w:pPr>
          </w:p>
        </w:tc>
        <w:tc>
          <w:tcPr>
            <w:tcW w:w="440" w:type="dxa"/>
            <w:vAlign w:val="bottom"/>
            <w:tcBorders>
              <w:top w:val="single" w:sz="8" w:color="CBDBD1"/>
            </w:tcBorders>
          </w:tcPr>
          <w:p>
            <w:pPr>
              <w:spacing w:after="0"/>
              <w:rPr>
                <w:sz w:val="24"/>
                <w:szCs w:val="24"/>
                <w:color w:val="auto"/>
              </w:rPr>
            </w:pPr>
          </w:p>
        </w:tc>
        <w:tc>
          <w:tcPr>
            <w:tcW w:w="340" w:type="dxa"/>
            <w:vAlign w:val="bottom"/>
            <w:tcBorders>
              <w:top w:val="single" w:sz="8" w:color="CBDBD1"/>
            </w:tcBorders>
          </w:tcPr>
          <w:p>
            <w:pPr>
              <w:spacing w:after="0"/>
              <w:rPr>
                <w:sz w:val="24"/>
                <w:szCs w:val="24"/>
                <w:color w:val="auto"/>
              </w:rPr>
            </w:pPr>
          </w:p>
        </w:tc>
        <w:tc>
          <w:tcPr>
            <w:tcW w:w="260" w:type="dxa"/>
            <w:vAlign w:val="bottom"/>
            <w:tcBorders>
              <w:top w:val="single" w:sz="8" w:color="CBDBD1"/>
            </w:tcBorders>
          </w:tcPr>
          <w:p>
            <w:pPr>
              <w:spacing w:after="0"/>
              <w:rPr>
                <w:sz w:val="24"/>
                <w:szCs w:val="24"/>
                <w:color w:val="auto"/>
              </w:rPr>
            </w:pPr>
          </w:p>
        </w:tc>
        <w:tc>
          <w:tcPr>
            <w:tcW w:w="1100" w:type="dxa"/>
            <w:vAlign w:val="bottom"/>
            <w:tcBorders>
              <w:top w:val="single" w:sz="8" w:color="CBDBD1"/>
            </w:tcBorders>
          </w:tcPr>
          <w:p>
            <w:pPr>
              <w:spacing w:after="0"/>
              <w:rPr>
                <w:sz w:val="24"/>
                <w:szCs w:val="24"/>
                <w:color w:val="auto"/>
              </w:rPr>
            </w:pPr>
          </w:p>
        </w:tc>
        <w:tc>
          <w:tcPr>
            <w:tcW w:w="28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2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conduct all of our operations through our wholly-owned subsidiary, OptimizeRx Michigan. We are a development-stage company that has developed a website, www.optimizerx.com (our “Site”), to help medical patients better afford and manage their rising healthcare costs. In addition, we provide unique advertising programs to the pharmaceutical and healthcare industries.</w:t>
      </w:r>
    </w:p>
    <w:p>
      <w:pPr>
        <w:spacing w:after="0" w:line="20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56" w:lineRule="exact"/>
        <w:rPr>
          <w:sz w:val="20"/>
          <w:szCs w:val="20"/>
          <w:color w:val="auto"/>
        </w:rPr>
      </w:pPr>
    </w:p>
    <w:p>
      <w:pPr>
        <w:ind w:left="580" w:right="180" w:hanging="348"/>
        <w:spacing w:after="0" w:line="25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OPTIMIZERx.com – Our Site is a portal to healthcare savings for patients to centrally review and participate in prescription and healthcare savings and support programs.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215" w:lineRule="exact"/>
        <w:rPr>
          <w:rFonts w:ascii="Arial" w:cs="Arial" w:eastAsia="Arial" w:hAnsi="Arial"/>
          <w:sz w:val="18"/>
          <w:szCs w:val="18"/>
          <w:color w:val="auto"/>
        </w:rPr>
      </w:pPr>
    </w:p>
    <w:p>
      <w:pPr>
        <w:ind w:left="580" w:right="180"/>
        <w:spacing w:after="0" w:line="259" w:lineRule="auto"/>
        <w:rPr>
          <w:rFonts w:ascii="Arial" w:cs="Arial" w:eastAsia="Arial" w:hAnsi="Arial"/>
          <w:sz w:val="18"/>
          <w:szCs w:val="18"/>
          <w:color w:val="auto"/>
        </w:rPr>
      </w:pPr>
      <w:r>
        <w:rPr>
          <w:rFonts w:ascii="Arial" w:cs="Arial" w:eastAsia="Arial" w:hAnsi="Arial"/>
          <w:sz w:val="18"/>
          <w:szCs w:val="18"/>
          <w:color w:val="auto"/>
        </w:rPr>
        <w:t>By providing information as well as significant savings opportunities to users of our Site, we hope to become the default medical website for both patients and the pharmaceutical industry. We feel that the aging of the baby boom generation, combined with the preponderance of internet usage to access information and savings in all areas, has created a large potential market for our Site. The Site is also the launching point for our other products, OFFERx and ADHERxE.</w:t>
      </w:r>
    </w:p>
    <w:p>
      <w:pPr>
        <w:spacing w:after="0" w:line="213" w:lineRule="exact"/>
        <w:rPr>
          <w:rFonts w:ascii="Arial" w:cs="Arial" w:eastAsia="Arial" w:hAnsi="Arial"/>
          <w:sz w:val="18"/>
          <w:szCs w:val="18"/>
          <w:color w:val="auto"/>
        </w:rPr>
      </w:pPr>
    </w:p>
    <w:p>
      <w:pPr>
        <w:ind w:left="580" w:right="140" w:hanging="348"/>
        <w:spacing w:after="0" w:line="25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OFFERx – We have entered into an exclusive relationship with Cegedim Dendrite’s OPUS Health division (“OPUS”). OPUS specializes in developing pharmaceutical sales and marketing programs, having pioneered the use of pharmacy loyalty cards. They also have the largest pharmacy network in the industry, having contracted with over 61,000 pharmacies. Through our relationship with OPUS, we gain access to and have the opportunity to offer programs for the pharmacies in OPUS’s network. OPUS, in turn, manages the loyalty cards generated through the program, building their patient database as well.</w:t>
      </w:r>
    </w:p>
    <w:p>
      <w:pPr>
        <w:spacing w:after="0" w:line="215" w:lineRule="exact"/>
        <w:rPr>
          <w:rFonts w:ascii="Arial" w:cs="Arial" w:eastAsia="Arial" w:hAnsi="Arial"/>
          <w:sz w:val="18"/>
          <w:szCs w:val="18"/>
          <w:color w:val="auto"/>
        </w:rPr>
      </w:pPr>
    </w:p>
    <w:p>
      <w:pPr>
        <w:ind w:left="580"/>
        <w:spacing w:after="0" w:line="255" w:lineRule="auto"/>
        <w:rPr>
          <w:rFonts w:ascii="Arial" w:cs="Arial" w:eastAsia="Arial" w:hAnsi="Arial"/>
          <w:sz w:val="18"/>
          <w:szCs w:val="18"/>
          <w:color w:val="auto"/>
        </w:rPr>
      </w:pPr>
      <w:r>
        <w:rPr>
          <w:rFonts w:ascii="Arial" w:cs="Arial" w:eastAsia="Arial" w:hAnsi="Arial"/>
          <w:sz w:val="18"/>
          <w:szCs w:val="18"/>
          <w:color w:val="auto"/>
        </w:rPr>
        <w:t>Our turn-key online platform, OFFERx, allows manufactures to create, promote, and fulfill new medication offering programs directly in all of the pharmacies that participate in our system, which now includes the over 61,000 pharmacies in OPUS’s network. Through our simple online interface, pharmaceutical manufacturers can offer coupons, discounts, and free trials directly to patients on our Site. This gives a significant level of control to manufacturers regarding the timing and level of their discounts. It also allows unprecedented flexibility in responding to market conditions as manufacturers will no longer need to allow for the long lead times necessary to prepare, print, and distribute the materials traditional required for such programs.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580" w:hanging="348"/>
        <w:spacing w:after="0" w:line="31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ADHERxE – We have entered into an exclusive relationship with S&amp;H Digital (“S&amp;H”), the Interactive division of Suddler and Hennessey of WPP healthcare communications agency. S&amp;H has experience in web development, search engine marketing, database marketing, reporting, and analytics, specializing in pharmaceutical marketing. Through our agreement, S&amp;H is responsible for the creating content and managing ADHERxE.</w:t>
      </w:r>
    </w:p>
    <w:p>
      <w:pPr>
        <w:spacing w:after="0" w:line="173" w:lineRule="exact"/>
        <w:rPr>
          <w:rFonts w:ascii="Arial" w:cs="Arial" w:eastAsia="Arial" w:hAnsi="Arial"/>
          <w:sz w:val="16"/>
          <w:szCs w:val="16"/>
          <w:color w:val="auto"/>
        </w:rPr>
      </w:pPr>
    </w:p>
    <w:p>
      <w:pPr>
        <w:ind w:left="580" w:right="260"/>
        <w:spacing w:after="0" w:line="273" w:lineRule="auto"/>
        <w:rPr>
          <w:rFonts w:ascii="Arial" w:cs="Arial" w:eastAsia="Arial" w:hAnsi="Arial"/>
          <w:sz w:val="16"/>
          <w:szCs w:val="16"/>
          <w:color w:val="auto"/>
        </w:rPr>
      </w:pPr>
      <w:r>
        <w:rPr>
          <w:rFonts w:ascii="Arial" w:cs="Arial" w:eastAsia="Arial" w:hAnsi="Arial"/>
          <w:sz w:val="17"/>
          <w:szCs w:val="17"/>
          <w:color w:val="auto"/>
        </w:rPr>
        <w:t>AHERxE is our turn-key online platform that allows manufacturers to engage and monitor patients each month in exchange for activation of their monthly co-pay coupons. Pharmaceutical companies that wish to monitor the usage and effectiveness of their products through online surveys are able to provide incentives for patients to participate in the surveys by providing discounts through online coupons available on our Site. Patients complete an initial survey to determine their treatment status. Each month, when patients respond to reminder emails and complete the manufacturer’s ongoing survey, they receive a coupon for discounts on their medications copays. This helps patients afford their medications and provides a way for pharmaceutical companies to track patient usage and results of treatment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With our marketing partners, including our New York advertising and PR agencies, we intend to promote OPTIMIZERx primarily through the following:</w:t>
      </w:r>
    </w:p>
    <w:p>
      <w:pPr>
        <w:spacing w:after="0" w:line="264"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the Company has entered into co-promotional agreements with both OPUS and S&amp;H as detailed above.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All of our officers and directors are part of our continual research development team and monitor new technologies, trends, services, and partnerships that can help us provide additional services and increased value to the healthcare and pharmaceutical industries and to the patients we serve.</w:t>
      </w:r>
    </w:p>
    <w:p>
      <w:pPr>
        <w:spacing w:after="0" w:line="1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seek to educate our team through an understanding of all market dynamics that have the potential to affect our business in both the short and long</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2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Like any company, we are seeking new services and solutions to offer. However, we feel that our three current platforms will provide robust opportunities and growth during the next five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McKesson, and Drugs.com.</w:t>
      </w:r>
    </w:p>
    <w:p>
      <w:pPr>
        <w:spacing w:after="0" w:line="214" w:lineRule="exact"/>
        <w:rPr>
          <w:sz w:val="20"/>
          <w:szCs w:val="20"/>
          <w:color w:val="auto"/>
        </w:rPr>
      </w:pPr>
    </w:p>
    <w:p>
      <w:pPr>
        <w:ind w:left="660" w:hanging="139"/>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spacing w:after="0" w:line="150"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left="660" w:hanging="13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208"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Drugs.com – Drugs.com provides free, accurate, and independent advice on more than 24,000 prescription drugs, over-the-counter medicines, and natural products. Their data sources include Micromedex™, Cerner Multum™, Wolters Kluwer™, and others. Users can search by condition or medication.</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Companies who provide similar offer redemption services through a network of pharmacies, such as McKesson, could seek to disrupt our exclusive partnership with OPUS. However, each of our competitors could also be a partner in co-promotion of exclusive offer and adherence campaigns we create on behalf of the client through OFFERx and ADHERxE.</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who have not done so already may be able to enter into the field by developing a website to promote health care offers. However, most may be limited in their ability to create, promote and manage new and exclusive prescription trials or offers. Additionally, with ADHERxE and the ability to create multiple offers activated each month for returning patients who sign up, we believe that we are uniquely positioned with significant barriers to entry for potential competitors in this area.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patent protection represents a huge asset and further opportunity upon its receipt.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5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37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740" w:type="dxa"/>
            <w:vAlign w:val="bottom"/>
            <w:gridSpan w:val="4"/>
            <w:vMerge w:val="restart"/>
          </w:tcPr>
          <w:p>
            <w:pPr>
              <w:jc w:val="center"/>
              <w:ind w:right="180"/>
              <w:spacing w:after="0"/>
              <w:rPr>
                <w:sz w:val="20"/>
                <w:szCs w:val="20"/>
                <w:color w:val="auto"/>
              </w:rPr>
            </w:pPr>
            <w:r>
              <w:rPr>
                <w:rFonts w:ascii="Arial" w:cs="Arial" w:eastAsia="Arial" w:hAnsi="Arial"/>
                <w:sz w:val="18"/>
                <w:szCs w:val="18"/>
                <w:b w:val="1"/>
                <w:bCs w:val="1"/>
                <w:color w:val="auto"/>
                <w:w w:val="93"/>
              </w:rPr>
              <w:t>App Number/ Filing</w:t>
            </w:r>
          </w:p>
        </w:tc>
        <w:tc>
          <w:tcPr>
            <w:tcW w:w="2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Brief Summary</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1860" w:type="dxa"/>
            <w:vAlign w:val="bottom"/>
            <w:gridSpan w:val="3"/>
            <w:vMerge w:val="restart"/>
          </w:tcPr>
          <w:p>
            <w:pPr>
              <w:jc w:val="center"/>
              <w:spacing w:after="0" w:line="194" w:lineRule="exact"/>
              <w:rPr>
                <w:sz w:val="20"/>
                <w:szCs w:val="20"/>
                <w:color w:val="auto"/>
              </w:rPr>
            </w:pPr>
            <w:r>
              <w:rPr>
                <w:rFonts w:ascii="Arial" w:cs="Arial" w:eastAsia="Arial" w:hAnsi="Arial"/>
                <w:sz w:val="18"/>
                <w:szCs w:val="18"/>
                <w:b w:val="1"/>
                <w:bCs w:val="1"/>
                <w:color w:val="auto"/>
                <w:w w:val="89"/>
              </w:rPr>
              <w:t>(Products Covered)</w:t>
            </w:r>
          </w:p>
        </w:tc>
        <w:tc>
          <w:tcPr>
            <w:tcW w:w="780" w:type="dxa"/>
            <w:vAlign w:val="bottom"/>
          </w:tcPr>
          <w:p>
            <w:pPr>
              <w:spacing w:after="0"/>
              <w:rPr>
                <w:sz w:val="8"/>
                <w:szCs w:val="8"/>
                <w:color w:val="auto"/>
              </w:rPr>
            </w:pPr>
          </w:p>
        </w:tc>
        <w:tc>
          <w:tcPr>
            <w:tcW w:w="1220" w:type="dxa"/>
            <w:vAlign w:val="bottom"/>
            <w:gridSpan w:val="2"/>
            <w:vMerge w:val="restart"/>
          </w:tcPr>
          <w:p>
            <w:pPr>
              <w:spacing w:after="0" w:line="194" w:lineRule="exact"/>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vMerge w:val="restart"/>
          </w:tcPr>
          <w:p>
            <w:pPr>
              <w:jc w:val="center"/>
              <w:ind w:right="600"/>
              <w:spacing w:after="0" w:line="196" w:lineRule="exact"/>
              <w:rPr>
                <w:sz w:val="20"/>
                <w:szCs w:val="20"/>
                <w:color w:val="auto"/>
              </w:rPr>
            </w:pPr>
            <w:r>
              <w:rPr>
                <w:rFonts w:ascii="Arial" w:cs="Arial" w:eastAsia="Arial" w:hAnsi="Arial"/>
                <w:sz w:val="18"/>
                <w:szCs w:val="18"/>
                <w:b w:val="1"/>
                <w:bCs w:val="1"/>
                <w:color w:val="auto"/>
                <w:w w:val="92"/>
              </w:rPr>
              <w:t>Date</w:t>
            </w:r>
          </w:p>
        </w:tc>
        <w:tc>
          <w:tcPr>
            <w:tcW w:w="180" w:type="dxa"/>
            <w:vAlign w:val="bottom"/>
            <w:vMerge w:val="restart"/>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Borders>
              <w:top w:val="single" w:sz="8" w:color="auto"/>
            </w:tcBorders>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00" w:type="dxa"/>
            <w:vAlign w:val="bottom"/>
            <w:shd w:val="clear" w:color="auto" w:fill="CBDBD1"/>
          </w:tcPr>
          <w:p>
            <w:pPr>
              <w:spacing w:after="0"/>
              <w:rPr>
                <w:sz w:val="17"/>
                <w:szCs w:val="17"/>
                <w:color w:val="auto"/>
              </w:rPr>
            </w:pPr>
          </w:p>
        </w:tc>
        <w:tc>
          <w:tcPr>
            <w:tcW w:w="360" w:type="dxa"/>
            <w:vAlign w:val="bottom"/>
            <w:shd w:val="clear" w:color="auto" w:fill="CBDBD1"/>
          </w:tcPr>
          <w:p>
            <w:pPr>
              <w:spacing w:after="0"/>
              <w:rPr>
                <w:sz w:val="17"/>
                <w:szCs w:val="17"/>
                <w:color w:val="auto"/>
              </w:rPr>
            </w:pPr>
          </w:p>
        </w:tc>
        <w:tc>
          <w:tcPr>
            <w:tcW w:w="60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1860" w:type="dxa"/>
            <w:vAlign w:val="bottom"/>
            <w:gridSpan w:val="3"/>
            <w:shd w:val="clear" w:color="auto" w:fill="CBDBD1"/>
          </w:tcPr>
          <w:p>
            <w:pPr>
              <w:ind w:left="180"/>
              <w:spacing w:after="0" w:line="201" w:lineRule="exact"/>
              <w:rPr>
                <w:sz w:val="20"/>
                <w:szCs w:val="20"/>
                <w:color w:val="auto"/>
              </w:rPr>
            </w:pPr>
            <w:r>
              <w:rPr>
                <w:rFonts w:ascii="Arial" w:cs="Arial" w:eastAsia="Arial" w:hAnsi="Arial"/>
                <w:sz w:val="18"/>
                <w:szCs w:val="18"/>
                <w:color w:val="auto"/>
              </w:rPr>
              <w:t>System for providing</w:t>
            </w:r>
          </w:p>
        </w:tc>
        <w:tc>
          <w:tcPr>
            <w:tcW w:w="780" w:type="dxa"/>
            <w:vAlign w:val="bottom"/>
            <w:shd w:val="clear" w:color="auto" w:fill="CBDBD1"/>
          </w:tcPr>
          <w:p>
            <w:pPr>
              <w:spacing w:after="0"/>
              <w:rPr>
                <w:sz w:val="17"/>
                <w:szCs w:val="17"/>
                <w:color w:val="auto"/>
              </w:rPr>
            </w:pPr>
          </w:p>
        </w:tc>
        <w:tc>
          <w:tcPr>
            <w:tcW w:w="480" w:type="dxa"/>
            <w:vAlign w:val="bottom"/>
            <w:shd w:val="clear" w:color="auto" w:fill="CBDBD1"/>
          </w:tcPr>
          <w:p>
            <w:pPr>
              <w:spacing w:after="0"/>
              <w:rPr>
                <w:sz w:val="17"/>
                <w:szCs w:val="17"/>
                <w:color w:val="auto"/>
              </w:rPr>
            </w:pPr>
          </w:p>
        </w:tc>
        <w:tc>
          <w:tcPr>
            <w:tcW w:w="7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5"/>
            <w:shd w:val="clear" w:color="auto" w:fill="CBDBD1"/>
          </w:tcPr>
          <w:p>
            <w:pPr>
              <w:spacing w:after="0"/>
              <w:rPr>
                <w:sz w:val="20"/>
                <w:szCs w:val="20"/>
                <w:color w:val="auto"/>
              </w:rPr>
            </w:pPr>
            <w:r>
              <w:rPr>
                <w:rFonts w:ascii="Arial" w:cs="Arial" w:eastAsia="Arial" w:hAnsi="Arial"/>
                <w:sz w:val="18"/>
                <w:szCs w:val="18"/>
                <w:color w:val="auto"/>
              </w:rPr>
              <w:t>S.N. 11/528,292</w:t>
            </w:r>
          </w:p>
        </w:tc>
        <w:tc>
          <w:tcPr>
            <w:tcW w:w="1860" w:type="dxa"/>
            <w:vAlign w:val="bottom"/>
            <w:gridSpan w:val="3"/>
            <w:shd w:val="clear" w:color="auto" w:fill="CBDBD1"/>
          </w:tcPr>
          <w:p>
            <w:pPr>
              <w:ind w:left="180"/>
              <w:spacing w:after="0"/>
              <w:rPr>
                <w:sz w:val="20"/>
                <w:szCs w:val="20"/>
                <w:color w:val="auto"/>
              </w:rPr>
            </w:pPr>
            <w:r>
              <w:rPr>
                <w:rFonts w:ascii="Arial" w:cs="Arial" w:eastAsia="Arial" w:hAnsi="Arial"/>
                <w:sz w:val="18"/>
                <w:szCs w:val="18"/>
                <w:color w:val="auto"/>
              </w:rPr>
              <w:t>patient savings and</w:t>
            </w:r>
          </w:p>
        </w:tc>
        <w:tc>
          <w:tcPr>
            <w:tcW w:w="2000" w:type="dxa"/>
            <w:vAlign w:val="bottom"/>
            <w:gridSpan w:val="3"/>
            <w:shd w:val="clear" w:color="auto" w:fill="CBDBD1"/>
          </w:tcPr>
          <w:p>
            <w:pPr>
              <w:ind w:left="120"/>
              <w:spacing w:after="0"/>
              <w:rPr>
                <w:sz w:val="20"/>
                <w:szCs w:val="20"/>
                <w:color w:val="auto"/>
              </w:rPr>
            </w:pPr>
            <w:r>
              <w:rPr>
                <w:rFonts w:ascii="Arial" w:cs="Arial" w:eastAsia="Arial" w:hAnsi="Arial"/>
                <w:sz w:val="18"/>
                <w:szCs w:val="18"/>
                <w:color w:val="auto"/>
              </w:rPr>
              <w:t>Patent application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5"/>
            <w:shd w:val="clear" w:color="auto" w:fill="CBDBD1"/>
          </w:tcPr>
          <w:p>
            <w:pPr>
              <w:spacing w:after="0"/>
              <w:rPr>
                <w:sz w:val="20"/>
                <w:szCs w:val="20"/>
                <w:color w:val="auto"/>
              </w:rPr>
            </w:pPr>
            <w:r>
              <w:rPr>
                <w:rFonts w:ascii="Arial" w:cs="Arial" w:eastAsia="Arial" w:hAnsi="Arial"/>
                <w:sz w:val="18"/>
                <w:szCs w:val="18"/>
                <w:color w:val="auto"/>
              </w:rPr>
              <w:t>September 27, 2006</w:t>
            </w:r>
          </w:p>
        </w:tc>
        <w:tc>
          <w:tcPr>
            <w:tcW w:w="1860" w:type="dxa"/>
            <w:vAlign w:val="bottom"/>
            <w:gridSpan w:val="3"/>
            <w:shd w:val="clear" w:color="auto" w:fill="CBDBD1"/>
          </w:tcPr>
          <w:p>
            <w:pPr>
              <w:ind w:left="180"/>
              <w:spacing w:after="0"/>
              <w:rPr>
                <w:sz w:val="20"/>
                <w:szCs w:val="20"/>
                <w:color w:val="auto"/>
              </w:rPr>
            </w:pPr>
            <w:r>
              <w:rPr>
                <w:rFonts w:ascii="Arial" w:cs="Arial" w:eastAsia="Arial" w:hAnsi="Arial"/>
                <w:sz w:val="18"/>
                <w:szCs w:val="18"/>
                <w:color w:val="auto"/>
                <w:w w:val="95"/>
              </w:rPr>
              <w:t>promoting health care</w:t>
            </w:r>
          </w:p>
        </w:tc>
        <w:tc>
          <w:tcPr>
            <w:tcW w:w="2000" w:type="dxa"/>
            <w:vAlign w:val="bottom"/>
            <w:gridSpan w:val="3"/>
            <w:shd w:val="clear" w:color="auto" w:fill="CBDBD1"/>
          </w:tcPr>
          <w:p>
            <w:pPr>
              <w:ind w:left="12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600" w:type="dxa"/>
            <w:vAlign w:val="bottom"/>
            <w:shd w:val="clear" w:color="auto" w:fill="CBDBD1"/>
          </w:tcPr>
          <w:p>
            <w:pPr>
              <w:spacing w:after="0"/>
              <w:rPr>
                <w:sz w:val="20"/>
                <w:szCs w:val="20"/>
                <w:color w:val="auto"/>
              </w:rPr>
            </w:pPr>
          </w:p>
        </w:tc>
        <w:tc>
          <w:tcPr>
            <w:tcW w:w="360" w:type="dxa"/>
            <w:vAlign w:val="bottom"/>
            <w:shd w:val="clear" w:color="auto" w:fill="CBDBD1"/>
          </w:tcPr>
          <w:p>
            <w:pPr>
              <w:spacing w:after="0"/>
              <w:rPr>
                <w:sz w:val="20"/>
                <w:szCs w:val="20"/>
                <w:color w:val="auto"/>
              </w:rPr>
            </w:pPr>
          </w:p>
        </w:tc>
        <w:tc>
          <w:tcPr>
            <w:tcW w:w="600" w:type="dxa"/>
            <w:vAlign w:val="bottom"/>
            <w:shd w:val="clear" w:color="auto" w:fill="CBDBD1"/>
          </w:tcPr>
          <w:p>
            <w:pPr>
              <w:spacing w:after="0"/>
              <w:rPr>
                <w:sz w:val="20"/>
                <w:szCs w:val="20"/>
                <w:color w:val="auto"/>
              </w:rPr>
            </w:pPr>
          </w:p>
        </w:tc>
        <w:tc>
          <w:tcPr>
            <w:tcW w:w="180" w:type="dxa"/>
            <w:vAlign w:val="bottom"/>
            <w:shd w:val="clear" w:color="auto" w:fill="CBDBD1"/>
          </w:tcPr>
          <w:p>
            <w:pPr>
              <w:spacing w:after="0"/>
              <w:rPr>
                <w:sz w:val="20"/>
                <w:szCs w:val="20"/>
                <w:color w:val="auto"/>
              </w:rPr>
            </w:pPr>
          </w:p>
        </w:tc>
        <w:tc>
          <w:tcPr>
            <w:tcW w:w="1860" w:type="dxa"/>
            <w:vAlign w:val="bottom"/>
            <w:gridSpan w:val="3"/>
            <w:shd w:val="clear" w:color="auto" w:fill="CBDBD1"/>
          </w:tcPr>
          <w:p>
            <w:pPr>
              <w:ind w:left="180"/>
              <w:spacing w:after="0"/>
              <w:rPr>
                <w:sz w:val="20"/>
                <w:szCs w:val="20"/>
                <w:color w:val="auto"/>
              </w:rPr>
            </w:pPr>
            <w:r>
              <w:rPr>
                <w:rFonts w:ascii="Arial" w:cs="Arial" w:eastAsia="Arial" w:hAnsi="Arial"/>
                <w:sz w:val="18"/>
                <w:szCs w:val="18"/>
                <w:color w:val="auto"/>
              </w:rPr>
              <w:t>product sales</w:t>
            </w:r>
          </w:p>
        </w:tc>
        <w:tc>
          <w:tcPr>
            <w:tcW w:w="780" w:type="dxa"/>
            <w:vAlign w:val="bottom"/>
            <w:shd w:val="clear" w:color="auto" w:fill="CBDBD1"/>
          </w:tcPr>
          <w:p>
            <w:pPr>
              <w:spacing w:after="0"/>
              <w:rPr>
                <w:sz w:val="20"/>
                <w:szCs w:val="20"/>
                <w:color w:val="auto"/>
              </w:rPr>
            </w:pPr>
          </w:p>
        </w:tc>
        <w:tc>
          <w:tcPr>
            <w:tcW w:w="480" w:type="dxa"/>
            <w:vAlign w:val="bottom"/>
            <w:shd w:val="clear" w:color="auto" w:fill="CBDBD1"/>
          </w:tcPr>
          <w:p>
            <w:pPr>
              <w:spacing w:after="0"/>
              <w:rPr>
                <w:sz w:val="20"/>
                <w:szCs w:val="20"/>
                <w:color w:val="auto"/>
              </w:rPr>
            </w:pPr>
          </w:p>
        </w:tc>
        <w:tc>
          <w:tcPr>
            <w:tcW w:w="740" w:type="dxa"/>
            <w:vAlign w:val="bottom"/>
            <w:shd w:val="clear" w:color="auto" w:fill="CBDBD1"/>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consummated entered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January 30, 2009, we had two full-time employees and four independent sales and programming contractors who perform various services for us. We also engage consultants for investor relations, accounting and legal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fourth quarter of our fiscal year ended December 31, 2008.</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common stock is currently quoted on the Pink Sheets, under the symbol “OPRX.” We have requested that a market maker apply for quotation on the OTC Bulletin Board. As of the date of this Annual Report, that application is still pending.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range of high and low bid quotations for our common stock for each of the periods indicated as reported by the Pink Sheets.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quotations reflect inter-dealer prices, without retail mark-up, mark-down or commission and may not necessarily represent actual transactions.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 2008</w:t>
      </w:r>
    </w:p>
    <w:p>
      <w:pPr>
        <w:spacing w:after="0" w:line="23"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156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Quarter Ended</w:t>
            </w: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High $</w:t>
            </w: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Low $</w:t>
            </w:r>
          </w:p>
        </w:tc>
      </w:tr>
      <w:tr>
        <w:trPr>
          <w:trHeight w:val="216"/>
        </w:trPr>
        <w:tc>
          <w:tcPr>
            <w:tcW w:w="1560" w:type="dxa"/>
            <w:vAlign w:val="bottom"/>
            <w:gridSpan w:val="2"/>
            <w:shd w:val="clear" w:color="auto" w:fill="CBDBD1"/>
          </w:tcPr>
          <w:p>
            <w:pPr>
              <w:jc w:val="center"/>
              <w:ind w:right="20"/>
              <w:spacing w:after="0"/>
              <w:rPr>
                <w:sz w:val="20"/>
                <w:szCs w:val="20"/>
                <w:color w:val="auto"/>
              </w:rPr>
            </w:pPr>
            <w:r>
              <w:rPr>
                <w:rFonts w:ascii="Arial" w:cs="Arial" w:eastAsia="Arial" w:hAnsi="Arial"/>
                <w:sz w:val="18"/>
                <w:szCs w:val="18"/>
                <w:color w:val="auto"/>
                <w:w w:val="89"/>
              </w:rPr>
              <w:t>December 31, 2008</w:t>
            </w:r>
          </w:p>
        </w:tc>
        <w:tc>
          <w:tcPr>
            <w:tcW w:w="1480" w:type="dxa"/>
            <w:vAlign w:val="bottom"/>
            <w:gridSpan w:val="3"/>
            <w:shd w:val="clear" w:color="auto" w:fill="CBDBD1"/>
          </w:tcPr>
          <w:p>
            <w:pPr>
              <w:jc w:val="center"/>
              <w:ind w:left="170"/>
              <w:spacing w:after="0"/>
              <w:rPr>
                <w:sz w:val="20"/>
                <w:szCs w:val="20"/>
                <w:color w:val="auto"/>
              </w:rPr>
            </w:pPr>
            <w:r>
              <w:rPr>
                <w:rFonts w:ascii="Arial" w:cs="Arial" w:eastAsia="Arial" w:hAnsi="Arial"/>
                <w:sz w:val="18"/>
                <w:szCs w:val="18"/>
                <w:color w:val="auto"/>
                <w:w w:val="85"/>
              </w:rPr>
              <w:t>4.30</w:t>
            </w:r>
          </w:p>
        </w:tc>
        <w:tc>
          <w:tcPr>
            <w:tcW w:w="20" w:type="dxa"/>
            <w:vAlign w:val="bottom"/>
            <w:shd w:val="clear" w:color="auto" w:fill="CBDBD1"/>
          </w:tcPr>
          <w:p>
            <w:pPr>
              <w:spacing w:after="0"/>
              <w:rPr>
                <w:sz w:val="18"/>
                <w:szCs w:val="18"/>
                <w:color w:val="auto"/>
              </w:rPr>
            </w:pPr>
          </w:p>
        </w:tc>
        <w:tc>
          <w:tcPr>
            <w:tcW w:w="1500" w:type="dxa"/>
            <w:vAlign w:val="bottom"/>
            <w:gridSpan w:val="3"/>
            <w:shd w:val="clear" w:color="auto" w:fill="CBDBD1"/>
          </w:tcPr>
          <w:p>
            <w:pPr>
              <w:jc w:val="center"/>
              <w:ind w:left="150"/>
              <w:spacing w:after="0"/>
              <w:rPr>
                <w:sz w:val="20"/>
                <w:szCs w:val="20"/>
                <w:color w:val="auto"/>
              </w:rPr>
            </w:pPr>
            <w:r>
              <w:rPr>
                <w:rFonts w:ascii="Arial" w:cs="Arial" w:eastAsia="Arial" w:hAnsi="Arial"/>
                <w:sz w:val="18"/>
                <w:szCs w:val="18"/>
                <w:color w:val="auto"/>
                <w:w w:val="85"/>
              </w:rPr>
              <w:t>1.56</w:t>
            </w:r>
          </w:p>
        </w:tc>
      </w:tr>
      <w:tr>
        <w:trPr>
          <w:trHeight w:val="216"/>
        </w:trPr>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2008</w:t>
            </w:r>
          </w:p>
        </w:tc>
        <w:tc>
          <w:tcPr>
            <w:tcW w:w="148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4.20</w:t>
            </w:r>
          </w:p>
        </w:tc>
        <w:tc>
          <w:tcPr>
            <w:tcW w:w="20" w:type="dxa"/>
            <w:vAlign w:val="bottom"/>
          </w:tcPr>
          <w:p>
            <w:pPr>
              <w:spacing w:after="0"/>
              <w:rPr>
                <w:sz w:val="18"/>
                <w:szCs w:val="18"/>
                <w:color w:val="auto"/>
              </w:rPr>
            </w:pPr>
          </w:p>
        </w:tc>
        <w:tc>
          <w:tcPr>
            <w:tcW w:w="150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3.90</w:t>
            </w:r>
          </w:p>
        </w:tc>
      </w:tr>
      <w:tr>
        <w:trPr>
          <w:trHeight w:val="216"/>
        </w:trPr>
        <w:tc>
          <w:tcPr>
            <w:tcW w:w="1560" w:type="dxa"/>
            <w:vAlign w:val="bottom"/>
            <w:gridSpan w:val="2"/>
            <w:shd w:val="clear" w:color="auto" w:fill="CBDBD1"/>
          </w:tcPr>
          <w:p>
            <w:pPr>
              <w:jc w:val="center"/>
              <w:spacing w:after="0"/>
              <w:rPr>
                <w:sz w:val="20"/>
                <w:szCs w:val="20"/>
                <w:color w:val="auto"/>
              </w:rPr>
            </w:pPr>
            <w:r>
              <w:rPr>
                <w:rFonts w:ascii="Arial" w:cs="Arial" w:eastAsia="Arial" w:hAnsi="Arial"/>
                <w:sz w:val="18"/>
                <w:szCs w:val="18"/>
                <w:color w:val="auto"/>
                <w:w w:val="87"/>
              </w:rPr>
              <w:t>June 30, 2008</w:t>
            </w:r>
          </w:p>
        </w:tc>
        <w:tc>
          <w:tcPr>
            <w:tcW w:w="1480" w:type="dxa"/>
            <w:vAlign w:val="bottom"/>
            <w:gridSpan w:val="3"/>
            <w:shd w:val="clear" w:color="auto" w:fill="CBDBD1"/>
          </w:tcPr>
          <w:p>
            <w:pPr>
              <w:jc w:val="center"/>
              <w:ind w:left="170"/>
              <w:spacing w:after="0"/>
              <w:rPr>
                <w:sz w:val="20"/>
                <w:szCs w:val="20"/>
                <w:color w:val="auto"/>
              </w:rPr>
            </w:pPr>
            <w:r>
              <w:rPr>
                <w:rFonts w:ascii="Arial" w:cs="Arial" w:eastAsia="Arial" w:hAnsi="Arial"/>
                <w:sz w:val="18"/>
                <w:szCs w:val="18"/>
                <w:color w:val="auto"/>
                <w:w w:val="93"/>
              </w:rPr>
              <w:t>15.00</w:t>
            </w:r>
          </w:p>
        </w:tc>
        <w:tc>
          <w:tcPr>
            <w:tcW w:w="20" w:type="dxa"/>
            <w:vAlign w:val="bottom"/>
            <w:shd w:val="clear" w:color="auto" w:fill="CBDBD1"/>
          </w:tcPr>
          <w:p>
            <w:pPr>
              <w:spacing w:after="0"/>
              <w:rPr>
                <w:sz w:val="18"/>
                <w:szCs w:val="18"/>
                <w:color w:val="auto"/>
              </w:rPr>
            </w:pPr>
          </w:p>
        </w:tc>
        <w:tc>
          <w:tcPr>
            <w:tcW w:w="1500" w:type="dxa"/>
            <w:vAlign w:val="bottom"/>
            <w:gridSpan w:val="3"/>
            <w:shd w:val="clear" w:color="auto" w:fill="CBDBD1"/>
          </w:tcPr>
          <w:p>
            <w:pPr>
              <w:jc w:val="center"/>
              <w:ind w:left="150"/>
              <w:spacing w:after="0"/>
              <w:rPr>
                <w:sz w:val="20"/>
                <w:szCs w:val="20"/>
                <w:color w:val="auto"/>
              </w:rPr>
            </w:pPr>
            <w:r>
              <w:rPr>
                <w:rFonts w:ascii="Arial" w:cs="Arial" w:eastAsia="Arial" w:hAnsi="Arial"/>
                <w:sz w:val="18"/>
                <w:szCs w:val="18"/>
                <w:color w:val="auto"/>
                <w:w w:val="85"/>
              </w:rPr>
              <w:t>3.90</w:t>
            </w:r>
          </w:p>
        </w:tc>
      </w:tr>
      <w:tr>
        <w:trPr>
          <w:trHeight w:val="230"/>
        </w:trPr>
        <w:tc>
          <w:tcPr>
            <w:tcW w:w="15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31, 2008</w:t>
            </w:r>
          </w:p>
        </w:tc>
        <w:tc>
          <w:tcPr>
            <w:tcW w:w="148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7.00</w:t>
            </w:r>
          </w:p>
        </w:tc>
        <w:tc>
          <w:tcPr>
            <w:tcW w:w="20" w:type="dxa"/>
            <w:vAlign w:val="bottom"/>
          </w:tcPr>
          <w:p>
            <w:pPr>
              <w:spacing w:after="0"/>
              <w:rPr>
                <w:sz w:val="20"/>
                <w:szCs w:val="20"/>
                <w:color w:val="auto"/>
              </w:rPr>
            </w:pPr>
          </w:p>
        </w:tc>
        <w:tc>
          <w:tcPr>
            <w:tcW w:w="150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4.00</w:t>
            </w:r>
          </w:p>
        </w:tc>
      </w:tr>
      <w:tr>
        <w:trPr>
          <w:trHeight w:val="452"/>
        </w:trPr>
        <w:tc>
          <w:tcPr>
            <w:tcW w:w="4560" w:type="dxa"/>
            <w:vAlign w:val="bottom"/>
            <w:tcBorders>
              <w:bottom w:val="single" w:sz="8" w:color="auto"/>
            </w:tcBorders>
            <w:gridSpan w:val="9"/>
          </w:tcPr>
          <w:p>
            <w:pPr>
              <w:ind w:left="860"/>
              <w:spacing w:after="0"/>
              <w:rPr>
                <w:sz w:val="20"/>
                <w:szCs w:val="20"/>
                <w:color w:val="auto"/>
              </w:rPr>
            </w:pPr>
            <w:r>
              <w:rPr>
                <w:rFonts w:ascii="Arial" w:cs="Arial" w:eastAsia="Arial" w:hAnsi="Arial"/>
                <w:sz w:val="18"/>
                <w:szCs w:val="18"/>
                <w:color w:val="auto"/>
              </w:rPr>
              <w:t>Fiscal Year Ending December 31, 2007</w:t>
            </w:r>
          </w:p>
        </w:tc>
      </w:tr>
      <w:tr>
        <w:trPr>
          <w:trHeight w:val="223"/>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Quarter Ended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High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Low $</w:t>
            </w:r>
          </w:p>
        </w:tc>
      </w:tr>
      <w:tr>
        <w:trPr>
          <w:trHeight w:val="216"/>
        </w:trPr>
        <w:tc>
          <w:tcPr>
            <w:tcW w:w="1560" w:type="dxa"/>
            <w:vAlign w:val="bottom"/>
            <w:gridSpan w:val="2"/>
            <w:shd w:val="clear" w:color="auto" w:fill="CBDBD1"/>
          </w:tcPr>
          <w:p>
            <w:pPr>
              <w:jc w:val="center"/>
              <w:ind w:right="40"/>
              <w:spacing w:after="0"/>
              <w:rPr>
                <w:sz w:val="20"/>
                <w:szCs w:val="20"/>
                <w:color w:val="auto"/>
              </w:rPr>
            </w:pPr>
            <w:r>
              <w:rPr>
                <w:rFonts w:ascii="Arial" w:cs="Arial" w:eastAsia="Arial" w:hAnsi="Arial"/>
                <w:sz w:val="18"/>
                <w:szCs w:val="18"/>
                <w:color w:val="auto"/>
                <w:w w:val="88"/>
              </w:rPr>
              <w:t>December 31, 2007</w:t>
            </w:r>
          </w:p>
        </w:tc>
        <w:tc>
          <w:tcPr>
            <w:tcW w:w="1480" w:type="dxa"/>
            <w:vAlign w:val="bottom"/>
            <w:gridSpan w:val="3"/>
            <w:shd w:val="clear" w:color="auto" w:fill="CBDBD1"/>
          </w:tcPr>
          <w:p>
            <w:pPr>
              <w:jc w:val="center"/>
              <w:ind w:left="110"/>
              <w:spacing w:after="0"/>
              <w:rPr>
                <w:sz w:val="20"/>
                <w:szCs w:val="20"/>
                <w:color w:val="auto"/>
              </w:rPr>
            </w:pPr>
            <w:r>
              <w:rPr>
                <w:rFonts w:ascii="Arial" w:cs="Arial" w:eastAsia="Arial" w:hAnsi="Arial"/>
                <w:sz w:val="18"/>
                <w:szCs w:val="18"/>
                <w:color w:val="auto"/>
                <w:w w:val="88"/>
              </w:rPr>
              <w:t>72.00</w:t>
            </w:r>
          </w:p>
        </w:tc>
        <w:tc>
          <w:tcPr>
            <w:tcW w:w="20" w:type="dxa"/>
            <w:vAlign w:val="bottom"/>
            <w:shd w:val="clear" w:color="auto" w:fill="CBDBD1"/>
          </w:tcPr>
          <w:p>
            <w:pPr>
              <w:spacing w:after="0"/>
              <w:rPr>
                <w:sz w:val="18"/>
                <w:szCs w:val="18"/>
                <w:color w:val="auto"/>
              </w:rPr>
            </w:pPr>
          </w:p>
        </w:tc>
        <w:tc>
          <w:tcPr>
            <w:tcW w:w="1500" w:type="dxa"/>
            <w:vAlign w:val="bottom"/>
            <w:gridSpan w:val="3"/>
            <w:shd w:val="clear" w:color="auto" w:fill="CBDBD1"/>
          </w:tcPr>
          <w:p>
            <w:pPr>
              <w:jc w:val="center"/>
              <w:ind w:left="110"/>
              <w:spacing w:after="0"/>
              <w:rPr>
                <w:sz w:val="20"/>
                <w:szCs w:val="20"/>
                <w:color w:val="auto"/>
              </w:rPr>
            </w:pPr>
            <w:r>
              <w:rPr>
                <w:rFonts w:ascii="Arial" w:cs="Arial" w:eastAsia="Arial" w:hAnsi="Arial"/>
                <w:sz w:val="18"/>
                <w:szCs w:val="18"/>
                <w:color w:val="auto"/>
                <w:w w:val="85"/>
              </w:rPr>
              <w:t>3.00</w:t>
            </w:r>
          </w:p>
        </w:tc>
      </w:tr>
      <w:tr>
        <w:trPr>
          <w:trHeight w:val="216"/>
        </w:trPr>
        <w:tc>
          <w:tcPr>
            <w:tcW w:w="156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September 30, 2007</w:t>
            </w:r>
          </w:p>
        </w:tc>
        <w:tc>
          <w:tcPr>
            <w:tcW w:w="14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490.00</w:t>
            </w:r>
          </w:p>
        </w:tc>
        <w:tc>
          <w:tcPr>
            <w:tcW w:w="20" w:type="dxa"/>
            <w:vAlign w:val="bottom"/>
          </w:tcPr>
          <w:p>
            <w:pPr>
              <w:spacing w:after="0"/>
              <w:rPr>
                <w:sz w:val="18"/>
                <w:szCs w:val="18"/>
                <w:color w:val="auto"/>
              </w:rPr>
            </w:pPr>
          </w:p>
        </w:tc>
        <w:tc>
          <w:tcPr>
            <w:tcW w:w="15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64.00</w:t>
            </w:r>
          </w:p>
        </w:tc>
      </w:tr>
      <w:tr>
        <w:trPr>
          <w:trHeight w:val="216"/>
        </w:trPr>
        <w:tc>
          <w:tcPr>
            <w:tcW w:w="1560" w:type="dxa"/>
            <w:vAlign w:val="bottom"/>
            <w:gridSpan w:val="2"/>
            <w:shd w:val="clear" w:color="auto" w:fill="CBDBD1"/>
          </w:tcPr>
          <w:p>
            <w:pPr>
              <w:jc w:val="center"/>
              <w:ind w:right="40"/>
              <w:spacing w:after="0"/>
              <w:rPr>
                <w:sz w:val="20"/>
                <w:szCs w:val="20"/>
                <w:color w:val="auto"/>
              </w:rPr>
            </w:pPr>
            <w:r>
              <w:rPr>
                <w:rFonts w:ascii="Arial" w:cs="Arial" w:eastAsia="Arial" w:hAnsi="Arial"/>
                <w:sz w:val="18"/>
                <w:szCs w:val="18"/>
                <w:color w:val="auto"/>
                <w:w w:val="87"/>
              </w:rPr>
              <w:t>June 30, 2007</w:t>
            </w:r>
          </w:p>
        </w:tc>
        <w:tc>
          <w:tcPr>
            <w:tcW w:w="1480" w:type="dxa"/>
            <w:vAlign w:val="bottom"/>
            <w:gridSpan w:val="3"/>
            <w:shd w:val="clear" w:color="auto" w:fill="CBDBD1"/>
          </w:tcPr>
          <w:p>
            <w:pPr>
              <w:jc w:val="center"/>
              <w:ind w:left="90"/>
              <w:spacing w:after="0"/>
              <w:rPr>
                <w:sz w:val="20"/>
                <w:szCs w:val="20"/>
                <w:color w:val="auto"/>
              </w:rPr>
            </w:pPr>
            <w:r>
              <w:rPr>
                <w:rFonts w:ascii="Arial" w:cs="Arial" w:eastAsia="Arial" w:hAnsi="Arial"/>
                <w:sz w:val="18"/>
                <w:szCs w:val="18"/>
                <w:color w:val="auto"/>
                <w:w w:val="90"/>
              </w:rPr>
              <w:t>550.00</w:t>
            </w:r>
          </w:p>
        </w:tc>
        <w:tc>
          <w:tcPr>
            <w:tcW w:w="20" w:type="dxa"/>
            <w:vAlign w:val="bottom"/>
            <w:shd w:val="clear" w:color="auto" w:fill="CBDBD1"/>
          </w:tcPr>
          <w:p>
            <w:pPr>
              <w:spacing w:after="0"/>
              <w:rPr>
                <w:sz w:val="18"/>
                <w:szCs w:val="18"/>
                <w:color w:val="auto"/>
              </w:rPr>
            </w:pPr>
          </w:p>
        </w:tc>
        <w:tc>
          <w:tcPr>
            <w:tcW w:w="1500" w:type="dxa"/>
            <w:vAlign w:val="bottom"/>
            <w:gridSpan w:val="3"/>
            <w:shd w:val="clear" w:color="auto" w:fill="CBDBD1"/>
          </w:tcPr>
          <w:p>
            <w:pPr>
              <w:jc w:val="center"/>
              <w:ind w:left="110"/>
              <w:spacing w:after="0"/>
              <w:rPr>
                <w:sz w:val="20"/>
                <w:szCs w:val="20"/>
                <w:color w:val="auto"/>
              </w:rPr>
            </w:pPr>
            <w:r>
              <w:rPr>
                <w:rFonts w:ascii="Arial" w:cs="Arial" w:eastAsia="Arial" w:hAnsi="Arial"/>
                <w:sz w:val="18"/>
                <w:szCs w:val="18"/>
                <w:color w:val="auto"/>
                <w:w w:val="90"/>
              </w:rPr>
              <w:t>360.00</w:t>
            </w:r>
          </w:p>
        </w:tc>
      </w:tr>
      <w:tr>
        <w:trPr>
          <w:trHeight w:val="230"/>
        </w:trPr>
        <w:tc>
          <w:tcPr>
            <w:tcW w:w="15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March 31, 2007</w:t>
            </w:r>
          </w:p>
        </w:tc>
        <w:tc>
          <w:tcPr>
            <w:tcW w:w="14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590.00</w:t>
            </w:r>
          </w:p>
        </w:tc>
        <w:tc>
          <w:tcPr>
            <w:tcW w:w="20" w:type="dxa"/>
            <w:vAlign w:val="bottom"/>
          </w:tcPr>
          <w:p>
            <w:pPr>
              <w:spacing w:after="0"/>
              <w:rPr>
                <w:sz w:val="20"/>
                <w:szCs w:val="20"/>
                <w:color w:val="auto"/>
              </w:rPr>
            </w:pPr>
          </w:p>
        </w:tc>
        <w:tc>
          <w:tcPr>
            <w:tcW w:w="15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380.00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13, 2009, the last sales price per share of our common stock was $4.30.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we had 12,262,958 shares of our common stock issued and outstanding, held by 336 shareholders of record.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9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2008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also have warrants outstanding to purchase 7,059,500 shares of our common stock as of December 31, 2008.</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20"/>
        </w:trPr>
        <w:tc>
          <w:tcPr>
            <w:tcW w:w="1580" w:type="dxa"/>
            <w:vAlign w:val="bottom"/>
          </w:tcPr>
          <w:p>
            <w:pPr>
              <w:spacing w:after="0"/>
              <w:rPr>
                <w:sz w:val="19"/>
                <w:szCs w:val="19"/>
                <w:color w:val="auto"/>
              </w:rPr>
            </w:pPr>
          </w:p>
        </w:tc>
        <w:tc>
          <w:tcPr>
            <w:tcW w:w="5840" w:type="dxa"/>
            <w:vAlign w:val="bottom"/>
            <w:gridSpan w:val="3"/>
          </w:tcPr>
          <w:p>
            <w:pPr>
              <w:jc w:val="right"/>
              <w:ind w:right="1590"/>
              <w:spacing w:after="0"/>
              <w:rPr>
                <w:sz w:val="20"/>
                <w:szCs w:val="20"/>
                <w:color w:val="auto"/>
              </w:rPr>
            </w:pPr>
            <w:r>
              <w:rPr>
                <w:rFonts w:ascii="Arial" w:cs="Arial" w:eastAsia="Arial" w:hAnsi="Arial"/>
                <w:sz w:val="18"/>
                <w:szCs w:val="18"/>
                <w:b w:val="1"/>
                <w:bCs w:val="1"/>
                <w:color w:val="auto"/>
                <w:w w:val="91"/>
              </w:rPr>
              <w:t>Equity Compensation Plans as of December 31, 2008</w:t>
            </w:r>
          </w:p>
        </w:tc>
      </w:tr>
      <w:tr>
        <w:trPr>
          <w:trHeight w:val="237"/>
        </w:trPr>
        <w:tc>
          <w:tcPr>
            <w:tcW w:w="158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25"/>
        </w:trPr>
        <w:tc>
          <w:tcPr>
            <w:tcW w:w="15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5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18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5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0"/>
              </w:rPr>
              <w:t>issued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15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6"/>
              </w:rPr>
              <w:t>upon exercise of</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15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5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 and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 and</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rights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4"/>
              </w:rPr>
              <w:t>right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column (A))</w:t>
            </w:r>
          </w:p>
        </w:tc>
      </w:tr>
      <w:tr>
        <w:trPr>
          <w:trHeight w:val="202"/>
        </w:trPr>
        <w:tc>
          <w:tcPr>
            <w:tcW w:w="15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3"/>
              </w:rPr>
              <w:t>Equity compensation</w:t>
            </w:r>
          </w:p>
        </w:tc>
        <w:tc>
          <w:tcPr>
            <w:tcW w:w="218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c>
          <w:tcPr>
            <w:tcW w:w="182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c>
          <w:tcPr>
            <w:tcW w:w="1840" w:type="dxa"/>
            <w:vAlign w:val="bottom"/>
            <w:shd w:val="clear" w:color="auto" w:fill="CBDBD1"/>
          </w:tcPr>
          <w:p>
            <w:pPr>
              <w:jc w:val="right"/>
              <w:spacing w:after="0" w:line="201" w:lineRule="exact"/>
              <w:rPr>
                <w:sz w:val="20"/>
                <w:szCs w:val="20"/>
                <w:color w:val="auto"/>
              </w:rPr>
            </w:pPr>
            <w:r>
              <w:rPr>
                <w:rFonts w:ascii="Arial" w:cs="Arial" w:eastAsia="Arial" w:hAnsi="Arial"/>
                <w:sz w:val="18"/>
                <w:szCs w:val="18"/>
                <w:color w:val="auto"/>
              </w:rPr>
              <w:t>-</w:t>
            </w:r>
          </w:p>
        </w:tc>
      </w:tr>
      <w:tr>
        <w:trPr>
          <w:trHeight w:val="216"/>
        </w:trPr>
        <w:tc>
          <w:tcPr>
            <w:tcW w:w="1580" w:type="dxa"/>
            <w:vAlign w:val="bottom"/>
            <w:shd w:val="clear" w:color="auto" w:fill="CBDBD1"/>
          </w:tcPr>
          <w:p>
            <w:pPr>
              <w:spacing w:after="0"/>
              <w:rPr>
                <w:sz w:val="20"/>
                <w:szCs w:val="20"/>
                <w:color w:val="auto"/>
              </w:rPr>
            </w:pPr>
            <w:r>
              <w:rPr>
                <w:rFonts w:ascii="Arial" w:cs="Arial" w:eastAsia="Arial" w:hAnsi="Arial"/>
                <w:sz w:val="18"/>
                <w:szCs w:val="18"/>
                <w:color w:val="auto"/>
              </w:rPr>
              <w:t>plans</w:t>
            </w:r>
          </w:p>
        </w:tc>
        <w:tc>
          <w:tcPr>
            <w:tcW w:w="2180" w:type="dxa"/>
            <w:vAlign w:val="bottom"/>
            <w:shd w:val="clear" w:color="auto" w:fill="CBDBD1"/>
          </w:tcPr>
          <w:p>
            <w:pPr>
              <w:spacing w:after="0"/>
              <w:rPr>
                <w:sz w:val="18"/>
                <w:szCs w:val="18"/>
                <w:color w:val="auto"/>
              </w:rPr>
            </w:pPr>
          </w:p>
        </w:tc>
        <w:tc>
          <w:tcPr>
            <w:tcW w:w="1820" w:type="dxa"/>
            <w:vAlign w:val="bottom"/>
            <w:shd w:val="clear" w:color="auto" w:fill="CBDBD1"/>
          </w:tcPr>
          <w:p>
            <w:pPr>
              <w:spacing w:after="0"/>
              <w:rPr>
                <w:sz w:val="18"/>
                <w:szCs w:val="18"/>
                <w:color w:val="auto"/>
              </w:rPr>
            </w:pPr>
          </w:p>
        </w:tc>
        <w:tc>
          <w:tcPr>
            <w:tcW w:w="1840" w:type="dxa"/>
            <w:vAlign w:val="bottom"/>
            <w:shd w:val="clear" w:color="auto" w:fill="CBDBD1"/>
          </w:tcPr>
          <w:p>
            <w:pPr>
              <w:spacing w:after="0"/>
              <w:rPr>
                <w:sz w:val="18"/>
                <w:szCs w:val="18"/>
                <w:color w:val="auto"/>
              </w:rPr>
            </w:pPr>
          </w:p>
        </w:tc>
      </w:tr>
      <w:tr>
        <w:trPr>
          <w:trHeight w:val="216"/>
        </w:trPr>
        <w:tc>
          <w:tcPr>
            <w:tcW w:w="1580" w:type="dxa"/>
            <w:vAlign w:val="bottom"/>
            <w:shd w:val="clear" w:color="auto" w:fill="CBDBD1"/>
          </w:tcPr>
          <w:p>
            <w:pPr>
              <w:spacing w:after="0"/>
              <w:rPr>
                <w:sz w:val="20"/>
                <w:szCs w:val="20"/>
                <w:color w:val="auto"/>
              </w:rPr>
            </w:pPr>
            <w:r>
              <w:rPr>
                <w:rFonts w:ascii="Arial" w:cs="Arial" w:eastAsia="Arial" w:hAnsi="Arial"/>
                <w:sz w:val="18"/>
                <w:szCs w:val="18"/>
                <w:color w:val="auto"/>
                <w:w w:val="93"/>
              </w:rPr>
              <w:t>approved by security</w:t>
            </w:r>
          </w:p>
        </w:tc>
        <w:tc>
          <w:tcPr>
            <w:tcW w:w="2180" w:type="dxa"/>
            <w:vAlign w:val="bottom"/>
            <w:shd w:val="clear" w:color="auto" w:fill="CBDBD1"/>
          </w:tcPr>
          <w:p>
            <w:pPr>
              <w:spacing w:after="0"/>
              <w:rPr>
                <w:sz w:val="18"/>
                <w:szCs w:val="18"/>
                <w:color w:val="auto"/>
              </w:rPr>
            </w:pPr>
          </w:p>
        </w:tc>
        <w:tc>
          <w:tcPr>
            <w:tcW w:w="1820" w:type="dxa"/>
            <w:vAlign w:val="bottom"/>
            <w:shd w:val="clear" w:color="auto" w:fill="CBDBD1"/>
          </w:tcPr>
          <w:p>
            <w:pPr>
              <w:spacing w:after="0"/>
              <w:rPr>
                <w:sz w:val="18"/>
                <w:szCs w:val="18"/>
                <w:color w:val="auto"/>
              </w:rPr>
            </w:pPr>
          </w:p>
        </w:tc>
        <w:tc>
          <w:tcPr>
            <w:tcW w:w="1840" w:type="dxa"/>
            <w:vAlign w:val="bottom"/>
            <w:shd w:val="clear" w:color="auto" w:fill="CBDBD1"/>
          </w:tcPr>
          <w:p>
            <w:pPr>
              <w:spacing w:after="0"/>
              <w:rPr>
                <w:sz w:val="18"/>
                <w:szCs w:val="18"/>
                <w:color w:val="auto"/>
              </w:rPr>
            </w:pPr>
          </w:p>
        </w:tc>
      </w:tr>
      <w:tr>
        <w:trPr>
          <w:trHeight w:val="230"/>
        </w:trPr>
        <w:tc>
          <w:tcPr>
            <w:tcW w:w="1580" w:type="dxa"/>
            <w:vAlign w:val="bottom"/>
            <w:shd w:val="clear" w:color="auto" w:fill="CBDBD1"/>
          </w:tcPr>
          <w:p>
            <w:pPr>
              <w:spacing w:after="0"/>
              <w:rPr>
                <w:sz w:val="20"/>
                <w:szCs w:val="20"/>
                <w:color w:val="auto"/>
              </w:rPr>
            </w:pPr>
            <w:r>
              <w:rPr>
                <w:rFonts w:ascii="Arial" w:cs="Arial" w:eastAsia="Arial" w:hAnsi="Arial"/>
                <w:sz w:val="18"/>
                <w:szCs w:val="18"/>
                <w:color w:val="auto"/>
              </w:rPr>
              <w:t>holders</w:t>
            </w:r>
          </w:p>
        </w:tc>
        <w:tc>
          <w:tcPr>
            <w:tcW w:w="2180" w:type="dxa"/>
            <w:vAlign w:val="bottom"/>
            <w:shd w:val="clear" w:color="auto" w:fill="CBDBD1"/>
          </w:tcPr>
          <w:p>
            <w:pPr>
              <w:spacing w:after="0"/>
              <w:rPr>
                <w:sz w:val="20"/>
                <w:szCs w:val="20"/>
                <w:color w:val="auto"/>
              </w:rPr>
            </w:pPr>
          </w:p>
        </w:tc>
        <w:tc>
          <w:tcPr>
            <w:tcW w:w="1820" w:type="dxa"/>
            <w:vAlign w:val="bottom"/>
            <w:shd w:val="clear" w:color="auto" w:fill="CBDBD1"/>
          </w:tcPr>
          <w:p>
            <w:pPr>
              <w:spacing w:after="0"/>
              <w:rPr>
                <w:sz w:val="20"/>
                <w:szCs w:val="20"/>
                <w:color w:val="auto"/>
              </w:rPr>
            </w:pPr>
          </w:p>
        </w:tc>
        <w:tc>
          <w:tcPr>
            <w:tcW w:w="1840" w:type="dxa"/>
            <w:vAlign w:val="bottom"/>
            <w:shd w:val="clear" w:color="auto" w:fill="CBDBD1"/>
          </w:tcPr>
          <w:p>
            <w:pPr>
              <w:spacing w:after="0"/>
              <w:rPr>
                <w:sz w:val="20"/>
                <w:szCs w:val="20"/>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w w:val="93"/>
              </w:rPr>
              <w:t>Equity compensation</w:t>
            </w:r>
          </w:p>
        </w:tc>
        <w:tc>
          <w:tcPr>
            <w:tcW w:w="2180" w:type="dxa"/>
            <w:vAlign w:val="bottom"/>
          </w:tcPr>
          <w:p>
            <w:pPr>
              <w:jc w:val="right"/>
              <w:spacing w:after="0" w:line="201" w:lineRule="exact"/>
              <w:rPr>
                <w:sz w:val="20"/>
                <w:szCs w:val="20"/>
                <w:color w:val="auto"/>
              </w:rPr>
            </w:pPr>
            <w:r>
              <w:rPr>
                <w:rFonts w:ascii="Arial" w:cs="Arial" w:eastAsia="Arial" w:hAnsi="Arial"/>
                <w:sz w:val="18"/>
                <w:szCs w:val="18"/>
                <w:color w:val="auto"/>
              </w:rPr>
              <w:t>7,424,500</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$1.89</w:t>
            </w: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1,125,000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plans</w:t>
            </w: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not approved by</w:t>
            </w: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security</w:t>
            </w: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holders</w:t>
            </w: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6"/>
        </w:trPr>
        <w:tc>
          <w:tcPr>
            <w:tcW w:w="1580" w:type="dxa"/>
            <w:vAlign w:val="bottom"/>
            <w:shd w:val="clear" w:color="auto" w:fill="CBDBD1"/>
          </w:tcPr>
          <w:p>
            <w:pPr>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7,424,500</w:t>
            </w:r>
          </w:p>
        </w:tc>
        <w:tc>
          <w:tcPr>
            <w:tcW w:w="1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$1.89</w:t>
            </w:r>
          </w:p>
        </w:tc>
        <w:tc>
          <w:tcPr>
            <w:tcW w:w="1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1,125,000</w:t>
            </w: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October 22, 2007, Optimizer Systems, LLC converted to a C-corporation and was renamed OptimizeRx Corporation. The total issued and outstanding at the time of conversion for OptimizeRx Corporation was 10,000,000 shares of common stock. Following the conversion, in 2007, OptimizeRx Corporation issued 300,000 shares of its common stock at a price of $1.00 per share for an aggregate purchase price of $300,000.</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2008, OptimizeRx Corporation sold an aggregate of 364,000 shares of its common stock in a private placement to multiple accredited investors at a price of $1.00 per share for an aggregate purchase price of $364,000.</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14, 2008, as RFID, Ltd., we entered into a Share Exchange Agreement with OptimizeRx Corporation, a Michigan corporation and the shareholders of OptimizeRx Corporation, pursuant to which we acquired all of the outstanding stock of OptimizeRx Corporation. As consideration for the acquisition of OptimizeRx Corporation, we agreed to issue 10,664,000 shares of our common stock to acquire 100% of issued and outstanding shares of OptimizeRx Corporation.</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Share Exchange Agreement, we sold an additional 272,000 shares of our common stock in a private placement to multiple accredited investors at a price of $1.00 per share for an aggregate purchase price of $272,000</w:t>
      </w:r>
    </w:p>
    <w:p>
      <w:pPr>
        <w:spacing w:after="0" w:line="19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September 8, 2008, we sold 35 shares Series A Preferred Stock for $3,500,000 to an accredited investor in a private placement exempt from registration under Rule 506 of Regulation D of the Securities Act. The Series A Preferred Stock is convertible into an aggregate of 3,500,000 shares of our common stock. Holders of the Series A Preferred Stock are entitled to receive dividends at the rate per share of 10% per annum of the stated value, payable semi-annually, either in cash or in shares of registered common stock, at a ten percent (10%) discount to the market price. Purchasers of the Series A Preferred Stock were also issued seven-year Series A warrants to purchase 6,000,000 shares of our common stock at an exercise price of $2.00 per share. We paid finders’ fees of $350,000 and issued to finders seven-year warrants to purchase 600,000 shares of our common stock at the exercise price of $2.00 per share and seven-year warrants to purchase 350,000 shares of our common stock at the exercise price of $1.00 per share. The offerings and sales were made to a limited number of persons, of who were accredited investors and transfer was restricted by OptimizeRx in accordance with the requirement of the Securities Act of 1933.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2008, we issued 70,000 shares of our common stock in exchange for services rendered.</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08" w:lineRule="exact"/>
        <w:rPr>
          <w:sz w:val="20"/>
          <w:szCs w:val="20"/>
          <w:color w:val="auto"/>
        </w:rPr>
      </w:pPr>
    </w:p>
    <w:p>
      <w:pPr>
        <w:ind w:left="1460" w:hanging="48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50" w:lineRule="exact"/>
        <w:rPr>
          <w:rFonts w:ascii="Arial" w:cs="Arial" w:eastAsia="Arial" w:hAnsi="Arial"/>
          <w:sz w:val="18"/>
          <w:szCs w:val="18"/>
          <w:color w:val="auto"/>
        </w:rPr>
      </w:pPr>
    </w:p>
    <w:p>
      <w:pPr>
        <w:ind w:left="1460" w:hanging="48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36" w:lineRule="exact"/>
        <w:rPr>
          <w:rFonts w:ascii="Arial" w:cs="Arial" w:eastAsia="Arial" w:hAnsi="Arial"/>
          <w:sz w:val="18"/>
          <w:szCs w:val="18"/>
          <w:color w:val="auto"/>
        </w:rPr>
      </w:pPr>
    </w:p>
    <w:p>
      <w:pPr>
        <w:ind w:left="1460" w:hanging="48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through the activation of new savings each month</w:t>
      </w:r>
    </w:p>
    <w:p>
      <w:pPr>
        <w:spacing w:after="0" w:line="26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15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17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Subsequent to the end of the reporting period, on February 9, 2009, we recorded our 300,000th new member since the beginning of 2009. We feel that the rapid growth of our registered user database will increase our ability to negotiate with pharmaceutical companies and generate advertising revenue. Also, subsequent to the end of the reporting period, on February 13, 2009, we began airing advertisements for OpimizeRx.com on AMC, Travel, MSNBC, Lifetime Movings, and other channels. We anticipate that this national exposure will further increase the growth of our database of registered users.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2008 and 2007</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Revenues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total revenue reported for the year ended December 31, 2008 was $83,686, a decrease from $100,318 for the year ended December 31, 2007.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increased to $1,591,738 for the year ended December 31, 2008 from $456,259 for the year ended December 31, 2007. Our operating expenses for the year ended December 31, 2008 consisted mainly of advertising expenses of $380,497, stock based compensation expenses of $333,004, consulting fees of $322,625, salaries and wages of $151,593, commission expenses of $87,825, website maintenance of $76,746, legal and accounting fees of $58,934, and travel expenses of $54,929.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5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Other expenses increased to $2,740,801 for the year ended December 31, 2008 from $5,525 for the year ended December 31, 2007. The increase in other expenses for the year ended December 31, 2008 from the prior year is primarily attributable to an increase in warrant 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2008 was $4,248,853, compared to net loss of $361,466 for the year ended December 31, 2007.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2008, we had total current assets of $2,507,294 and total assets in the amount of $2,643,301. Our total current liabilities as of December 31, 2008 were $217,797. We had working capital of $2,289,497 as of December 31, 2008.</w:t>
      </w:r>
    </w:p>
    <w:p>
      <w:pPr>
        <w:spacing w:after="0" w:line="19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Operating activities used $919,402 in cash for the year ended December 31, 2008. Our net loss of $4,248,853 was the primary component of our negative operating cash flow, offset mainly by $2,745,280 in stock warrants issued for services, $333,004 in stock options issued for compensation, a $128,648 increase in accounts payable, $70,000 in stock issued for services. Cash flows used by investing activities during the year ended December 31, 2008 was $10,621 for the acquisition of property and equipment. Cash flows provided by financing activities during the year ended December 31, 2008 amounted to $3,297,250 and consisted of $2,985,000 as proceeds from the issuances of preferred stock, $636,000 as proceeds from the issuances of common stock, $320,000 as proceeds from notes payable, offset by $643,750 incurred in the repayment of notes payable to related parties.</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monthly use of funds is for general operations, product development, sales and marketing. Our operational overhead is generally minimized through our small staff and use of independent contractors.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Arial" w:cs="Arial" w:eastAsia="Arial" w:hAnsi="Arial"/>
                <w:sz w:val="18"/>
                <w:szCs w:val="18"/>
                <w:color w:val="auto"/>
                <w:w w:val="98"/>
              </w:rPr>
              <w:t>Estimated Monthly Expenses:</w:t>
            </w:r>
          </w:p>
        </w:tc>
        <w:tc>
          <w:tcPr>
            <w:tcW w:w="222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Normal Expected Range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BDBD1"/>
          </w:tcPr>
          <w:p>
            <w:pPr>
              <w:spacing w:after="0"/>
              <w:rPr>
                <w:sz w:val="20"/>
                <w:szCs w:val="20"/>
                <w:color w:val="auto"/>
              </w:rPr>
            </w:pPr>
            <w:r>
              <w:rPr>
                <w:rFonts w:ascii="Arial" w:cs="Arial" w:eastAsia="Arial" w:hAnsi="Arial"/>
                <w:sz w:val="18"/>
                <w:szCs w:val="18"/>
                <w:color w:val="auto"/>
              </w:rPr>
              <w:t>Staff salaries</w:t>
            </w:r>
          </w:p>
        </w:tc>
        <w:tc>
          <w:tcPr>
            <w:tcW w:w="106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$25,000</w:t>
            </w:r>
          </w:p>
        </w:tc>
        <w:tc>
          <w:tcPr>
            <w:tcW w:w="880" w:type="dxa"/>
            <w:vAlign w:val="bottom"/>
            <w:shd w:val="clear" w:color="auto" w:fill="CBDBD1"/>
          </w:tcPr>
          <w:p>
            <w:pPr>
              <w:ind w:left="20"/>
              <w:spacing w:after="0"/>
              <w:rPr>
                <w:sz w:val="20"/>
                <w:szCs w:val="20"/>
                <w:color w:val="auto"/>
              </w:rPr>
            </w:pPr>
            <w:r>
              <w:rPr>
                <w:rFonts w:ascii="Arial" w:cs="Arial" w:eastAsia="Arial" w:hAnsi="Arial"/>
                <w:sz w:val="18"/>
                <w:szCs w:val="18"/>
                <w:color w:val="auto"/>
              </w:rPr>
              <w:t>- 35,000</w:t>
            </w:r>
          </w:p>
        </w:tc>
        <w:tc>
          <w:tcPr>
            <w:tcW w:w="28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Independent Sales</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$10,000</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- 15,000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Representatives</w:t>
            </w:r>
          </w:p>
        </w:tc>
        <w:tc>
          <w:tcPr>
            <w:tcW w:w="106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shd w:val="clear" w:color="auto" w:fill="CBDBD1"/>
          </w:tcPr>
          <w:p>
            <w:pPr>
              <w:spacing w:after="0" w:line="201" w:lineRule="exact"/>
              <w:rPr>
                <w:sz w:val="20"/>
                <w:szCs w:val="20"/>
                <w:color w:val="auto"/>
              </w:rPr>
            </w:pPr>
            <w:r>
              <w:rPr>
                <w:rFonts w:ascii="Arial" w:cs="Arial" w:eastAsia="Arial" w:hAnsi="Arial"/>
                <w:sz w:val="18"/>
                <w:szCs w:val="18"/>
                <w:color w:val="auto"/>
              </w:rPr>
              <w:t>IT and Web/Product</w:t>
            </w:r>
          </w:p>
        </w:tc>
        <w:tc>
          <w:tcPr>
            <w:tcW w:w="1060" w:type="dxa"/>
            <w:vAlign w:val="bottom"/>
            <w:gridSpan w:val="2"/>
            <w:vMerge w:val="restart"/>
            <w:shd w:val="clear" w:color="auto" w:fill="CBDBD1"/>
          </w:tcPr>
          <w:p>
            <w:pPr>
              <w:jc w:val="right"/>
              <w:ind w:right="20"/>
              <w:spacing w:after="0"/>
              <w:rPr>
                <w:sz w:val="20"/>
                <w:szCs w:val="20"/>
                <w:color w:val="auto"/>
              </w:rPr>
            </w:pPr>
            <w:r>
              <w:rPr>
                <w:rFonts w:ascii="Arial" w:cs="Arial" w:eastAsia="Arial" w:hAnsi="Arial"/>
                <w:sz w:val="18"/>
                <w:szCs w:val="18"/>
                <w:color w:val="auto"/>
              </w:rPr>
              <w:t>$10,000</w:t>
            </w:r>
          </w:p>
        </w:tc>
        <w:tc>
          <w:tcPr>
            <w:tcW w:w="880" w:type="dxa"/>
            <w:vAlign w:val="bottom"/>
            <w:vMerge w:val="restart"/>
            <w:shd w:val="clear" w:color="auto" w:fill="CBDBD1"/>
          </w:tcPr>
          <w:p>
            <w:pPr>
              <w:ind w:left="20"/>
              <w:spacing w:after="0"/>
              <w:rPr>
                <w:sz w:val="20"/>
                <w:szCs w:val="20"/>
                <w:color w:val="auto"/>
              </w:rPr>
            </w:pPr>
            <w:r>
              <w:rPr>
                <w:rFonts w:ascii="Arial" w:cs="Arial" w:eastAsia="Arial" w:hAnsi="Arial"/>
                <w:sz w:val="18"/>
                <w:szCs w:val="18"/>
                <w:color w:val="auto"/>
              </w:rPr>
              <w:t>- 15,000</w:t>
            </w:r>
          </w:p>
        </w:tc>
        <w:tc>
          <w:tcPr>
            <w:tcW w:w="2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gridSpan w:val="2"/>
            <w:vMerge w:val="restart"/>
            <w:shd w:val="clear" w:color="auto" w:fill="CBDBD1"/>
          </w:tcPr>
          <w:p>
            <w:pPr>
              <w:spacing w:after="0"/>
              <w:rPr>
                <w:sz w:val="20"/>
                <w:szCs w:val="20"/>
                <w:color w:val="auto"/>
              </w:rPr>
            </w:pPr>
            <w:r>
              <w:rPr>
                <w:rFonts w:ascii="Arial" w:cs="Arial" w:eastAsia="Arial" w:hAnsi="Arial"/>
                <w:sz w:val="18"/>
                <w:szCs w:val="18"/>
                <w:color w:val="auto"/>
              </w:rPr>
              <w:t>Development</w:t>
            </w:r>
          </w:p>
        </w:tc>
        <w:tc>
          <w:tcPr>
            <w:tcW w:w="1060" w:type="dxa"/>
            <w:vAlign w:val="bottom"/>
            <w:gridSpan w:val="2"/>
            <w:vMerge w:val="continue"/>
            <w:shd w:val="clear" w:color="auto" w:fill="CBDBD1"/>
          </w:tcPr>
          <w:p>
            <w:pPr>
              <w:spacing w:after="0"/>
              <w:rPr>
                <w:sz w:val="10"/>
                <w:szCs w:val="10"/>
                <w:color w:val="auto"/>
              </w:rPr>
            </w:pPr>
          </w:p>
        </w:tc>
        <w:tc>
          <w:tcPr>
            <w:tcW w:w="880" w:type="dxa"/>
            <w:vAlign w:val="bottom"/>
            <w:vMerge w:val="continue"/>
            <w:shd w:val="clear" w:color="auto" w:fill="CBDBD1"/>
          </w:tcPr>
          <w:p>
            <w:pPr>
              <w:spacing w:after="0"/>
              <w:rPr>
                <w:sz w:val="10"/>
                <w:szCs w:val="10"/>
                <w:color w:val="auto"/>
              </w:rPr>
            </w:pPr>
          </w:p>
        </w:tc>
        <w:tc>
          <w:tcPr>
            <w:tcW w:w="280" w:type="dxa"/>
            <w:vAlign w:val="bottom"/>
            <w:shd w:val="clear" w:color="auto" w:fill="CBDBD1"/>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gridSpan w:val="2"/>
            <w:vMerge w:val="continue"/>
            <w:shd w:val="clear" w:color="auto" w:fill="CBDBD1"/>
          </w:tcPr>
          <w:p>
            <w:pPr>
              <w:spacing w:after="0"/>
              <w:rPr>
                <w:sz w:val="9"/>
                <w:szCs w:val="9"/>
                <w:color w:val="auto"/>
              </w:rPr>
            </w:pPr>
          </w:p>
        </w:tc>
        <w:tc>
          <w:tcPr>
            <w:tcW w:w="180" w:type="dxa"/>
            <w:vAlign w:val="bottom"/>
            <w:shd w:val="clear" w:color="auto" w:fill="CBDBD1"/>
          </w:tcPr>
          <w:p>
            <w:pPr>
              <w:spacing w:after="0"/>
              <w:rPr>
                <w:sz w:val="9"/>
                <w:szCs w:val="9"/>
                <w:color w:val="auto"/>
              </w:rPr>
            </w:pPr>
          </w:p>
        </w:tc>
        <w:tc>
          <w:tcPr>
            <w:tcW w:w="880" w:type="dxa"/>
            <w:vAlign w:val="bottom"/>
            <w:shd w:val="clear" w:color="auto" w:fill="CBDBD1"/>
          </w:tcPr>
          <w:p>
            <w:pPr>
              <w:spacing w:after="0"/>
              <w:rPr>
                <w:sz w:val="9"/>
                <w:szCs w:val="9"/>
                <w:color w:val="auto"/>
              </w:rPr>
            </w:pPr>
          </w:p>
        </w:tc>
        <w:tc>
          <w:tcPr>
            <w:tcW w:w="880" w:type="dxa"/>
            <w:vAlign w:val="bottom"/>
            <w:shd w:val="clear" w:color="auto" w:fill="CBDBD1"/>
          </w:tcPr>
          <w:p>
            <w:pPr>
              <w:spacing w:after="0"/>
              <w:rPr>
                <w:sz w:val="9"/>
                <w:szCs w:val="9"/>
                <w:color w:val="auto"/>
              </w:rPr>
            </w:pPr>
          </w:p>
        </w:tc>
        <w:tc>
          <w:tcPr>
            <w:tcW w:w="280" w:type="dxa"/>
            <w:vAlign w:val="bottom"/>
            <w:shd w:val="clear" w:color="auto" w:fill="CBDBD1"/>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Rent and other general</w:t>
            </w:r>
          </w:p>
        </w:tc>
        <w:tc>
          <w:tcPr>
            <w:tcW w:w="194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0"/>
              </w:rPr>
              <w:t>$5,000 - 10,000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expenses</w:t>
            </w:r>
          </w:p>
        </w:tc>
        <w:tc>
          <w:tcPr>
            <w:tcW w:w="19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shd w:val="clear" w:color="auto" w:fill="CBDBD1"/>
          </w:tcPr>
          <w:p>
            <w:pPr>
              <w:spacing w:after="0" w:line="201" w:lineRule="exact"/>
              <w:rPr>
                <w:sz w:val="20"/>
                <w:szCs w:val="20"/>
                <w:color w:val="auto"/>
              </w:rPr>
            </w:pPr>
            <w:r>
              <w:rPr>
                <w:rFonts w:ascii="Arial" w:cs="Arial" w:eastAsia="Arial" w:hAnsi="Arial"/>
                <w:sz w:val="18"/>
                <w:szCs w:val="18"/>
                <w:color w:val="auto"/>
              </w:rPr>
              <w:t>Travel and other related</w:t>
            </w:r>
          </w:p>
        </w:tc>
        <w:tc>
          <w:tcPr>
            <w:tcW w:w="1940" w:type="dxa"/>
            <w:vAlign w:val="bottom"/>
            <w:gridSpan w:val="3"/>
            <w:vMerge w:val="restart"/>
            <w:shd w:val="clear" w:color="auto" w:fill="CBDBD1"/>
          </w:tcPr>
          <w:p>
            <w:pPr>
              <w:jc w:val="center"/>
              <w:ind w:left="110"/>
              <w:spacing w:after="0"/>
              <w:rPr>
                <w:sz w:val="20"/>
                <w:szCs w:val="20"/>
                <w:color w:val="auto"/>
              </w:rPr>
            </w:pPr>
            <w:r>
              <w:rPr>
                <w:rFonts w:ascii="Arial" w:cs="Arial" w:eastAsia="Arial" w:hAnsi="Arial"/>
                <w:sz w:val="18"/>
                <w:szCs w:val="18"/>
                <w:color w:val="auto"/>
                <w:w w:val="90"/>
              </w:rPr>
              <w:t>$5,000 - 10,000</w:t>
            </w:r>
          </w:p>
        </w:tc>
        <w:tc>
          <w:tcPr>
            <w:tcW w:w="2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gridSpan w:val="2"/>
            <w:vMerge w:val="restart"/>
            <w:shd w:val="clear" w:color="auto" w:fill="CBDBD1"/>
          </w:tcPr>
          <w:p>
            <w:pPr>
              <w:spacing w:after="0"/>
              <w:rPr>
                <w:sz w:val="20"/>
                <w:szCs w:val="20"/>
                <w:color w:val="auto"/>
              </w:rPr>
            </w:pPr>
            <w:r>
              <w:rPr>
                <w:rFonts w:ascii="Arial" w:cs="Arial" w:eastAsia="Arial" w:hAnsi="Arial"/>
                <w:sz w:val="18"/>
                <w:szCs w:val="18"/>
                <w:color w:val="auto"/>
              </w:rPr>
              <w:t>expenses</w:t>
            </w:r>
          </w:p>
        </w:tc>
        <w:tc>
          <w:tcPr>
            <w:tcW w:w="1940" w:type="dxa"/>
            <w:vAlign w:val="bottom"/>
            <w:gridSpan w:val="3"/>
            <w:vMerge w:val="continue"/>
            <w:shd w:val="clear" w:color="auto" w:fill="CBDBD1"/>
          </w:tcPr>
          <w:p>
            <w:pPr>
              <w:spacing w:after="0"/>
              <w:rPr>
                <w:sz w:val="10"/>
                <w:szCs w:val="10"/>
                <w:color w:val="auto"/>
              </w:rPr>
            </w:pPr>
          </w:p>
        </w:tc>
        <w:tc>
          <w:tcPr>
            <w:tcW w:w="280" w:type="dxa"/>
            <w:vAlign w:val="bottom"/>
            <w:shd w:val="clear" w:color="auto" w:fill="CBDBD1"/>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gridSpan w:val="2"/>
            <w:vMerge w:val="continue"/>
            <w:shd w:val="clear" w:color="auto" w:fill="CBDBD1"/>
          </w:tcPr>
          <w:p>
            <w:pPr>
              <w:spacing w:after="0"/>
              <w:rPr>
                <w:sz w:val="9"/>
                <w:szCs w:val="9"/>
                <w:color w:val="auto"/>
              </w:rPr>
            </w:pPr>
          </w:p>
        </w:tc>
        <w:tc>
          <w:tcPr>
            <w:tcW w:w="180" w:type="dxa"/>
            <w:vAlign w:val="bottom"/>
            <w:shd w:val="clear" w:color="auto" w:fill="CBDBD1"/>
          </w:tcPr>
          <w:p>
            <w:pPr>
              <w:spacing w:after="0"/>
              <w:rPr>
                <w:sz w:val="9"/>
                <w:szCs w:val="9"/>
                <w:color w:val="auto"/>
              </w:rPr>
            </w:pPr>
          </w:p>
        </w:tc>
        <w:tc>
          <w:tcPr>
            <w:tcW w:w="880" w:type="dxa"/>
            <w:vAlign w:val="bottom"/>
            <w:shd w:val="clear" w:color="auto" w:fill="CBDBD1"/>
          </w:tcPr>
          <w:p>
            <w:pPr>
              <w:spacing w:after="0"/>
              <w:rPr>
                <w:sz w:val="9"/>
                <w:szCs w:val="9"/>
                <w:color w:val="auto"/>
              </w:rPr>
            </w:pPr>
          </w:p>
        </w:tc>
        <w:tc>
          <w:tcPr>
            <w:tcW w:w="880" w:type="dxa"/>
            <w:vAlign w:val="bottom"/>
            <w:shd w:val="clear" w:color="auto" w:fill="CBDBD1"/>
          </w:tcPr>
          <w:p>
            <w:pPr>
              <w:spacing w:after="0"/>
              <w:rPr>
                <w:sz w:val="9"/>
                <w:szCs w:val="9"/>
                <w:color w:val="auto"/>
              </w:rPr>
            </w:pPr>
          </w:p>
        </w:tc>
        <w:tc>
          <w:tcPr>
            <w:tcW w:w="280" w:type="dxa"/>
            <w:vAlign w:val="bottom"/>
            <w:shd w:val="clear" w:color="auto" w:fill="CBDBD1"/>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80" w:type="dxa"/>
            <w:vAlign w:val="bottom"/>
          </w:tcPr>
          <w:p>
            <w:pPr>
              <w:ind w:left="20"/>
              <w:spacing w:after="0"/>
              <w:rPr>
                <w:sz w:val="20"/>
                <w:szCs w:val="20"/>
                <w:color w:val="auto"/>
              </w:rPr>
            </w:pPr>
            <w:r>
              <w:rPr>
                <w:rFonts w:ascii="Arial" w:cs="Arial" w:eastAsia="Arial" w:hAnsi="Arial"/>
                <w:sz w:val="18"/>
                <w:szCs w:val="18"/>
                <w:color w:val="auto"/>
              </w:rPr>
              <w:t>- 5,000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80" w:type="dxa"/>
            <w:vAlign w:val="bottom"/>
            <w:vMerge w:val="restart"/>
            <w:shd w:val="clear" w:color="auto" w:fill="CBDBD1"/>
          </w:tcPr>
          <w:p>
            <w:pPr>
              <w:spacing w:after="0"/>
              <w:rPr>
                <w:sz w:val="20"/>
                <w:szCs w:val="20"/>
                <w:color w:val="auto"/>
              </w:rPr>
            </w:pPr>
            <w:r>
              <w:rPr>
                <w:rFonts w:ascii="Arial" w:cs="Arial" w:eastAsia="Arial" w:hAnsi="Arial"/>
                <w:sz w:val="18"/>
                <w:szCs w:val="18"/>
                <w:color w:val="auto"/>
              </w:rPr>
              <w:t>Marketing &amp; Advertising</w:t>
            </w:r>
          </w:p>
        </w:tc>
        <w:tc>
          <w:tcPr>
            <w:tcW w:w="24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(Variable: See comments</w:t>
            </w:r>
          </w:p>
        </w:tc>
        <w:tc>
          <w:tcPr>
            <w:tcW w:w="0" w:type="dxa"/>
            <w:vAlign w:val="bottom"/>
          </w:tcPr>
          <w:p>
            <w:pPr>
              <w:spacing w:after="0"/>
              <w:rPr>
                <w:sz w:val="1"/>
                <w:szCs w:val="1"/>
                <w:color w:val="auto"/>
              </w:rPr>
            </w:pPr>
          </w:p>
        </w:tc>
      </w:tr>
      <w:tr>
        <w:trPr>
          <w:trHeight w:val="122"/>
        </w:trPr>
        <w:tc>
          <w:tcPr>
            <w:tcW w:w="2180" w:type="dxa"/>
            <w:vAlign w:val="bottom"/>
            <w:vMerge w:val="continue"/>
            <w:shd w:val="clear" w:color="auto" w:fill="CBDBD1"/>
          </w:tcPr>
          <w:p>
            <w:pPr>
              <w:spacing w:after="0"/>
              <w:rPr>
                <w:sz w:val="10"/>
                <w:szCs w:val="10"/>
                <w:color w:val="auto"/>
              </w:rPr>
            </w:pPr>
          </w:p>
        </w:tc>
        <w:tc>
          <w:tcPr>
            <w:tcW w:w="2400" w:type="dxa"/>
            <w:vAlign w:val="bottom"/>
            <w:vMerge w:val="restart"/>
            <w:shd w:val="clear" w:color="auto" w:fill="CBDBD1"/>
          </w:tcPr>
          <w:p>
            <w:pPr>
              <w:jc w:val="center"/>
              <w:ind w:left="10"/>
              <w:spacing w:after="0"/>
              <w:rPr>
                <w:sz w:val="20"/>
                <w:szCs w:val="20"/>
                <w:color w:val="auto"/>
              </w:rPr>
            </w:pPr>
            <w:r>
              <w:rPr>
                <w:rFonts w:ascii="Arial" w:cs="Arial" w:eastAsia="Arial" w:hAnsi="Arial"/>
                <w:sz w:val="18"/>
                <w:szCs w:val="18"/>
                <w:color w:val="auto"/>
                <w:w w:val="94"/>
              </w:rPr>
              <w:t>below)</w:t>
            </w:r>
          </w:p>
        </w:tc>
        <w:tc>
          <w:tcPr>
            <w:tcW w:w="0" w:type="dxa"/>
            <w:vAlign w:val="bottom"/>
          </w:tcPr>
          <w:p>
            <w:pPr>
              <w:spacing w:after="0"/>
              <w:rPr>
                <w:sz w:val="1"/>
                <w:szCs w:val="1"/>
                <w:color w:val="auto"/>
              </w:rPr>
            </w:pPr>
          </w:p>
        </w:tc>
      </w:tr>
      <w:tr>
        <w:trPr>
          <w:trHeight w:val="108"/>
        </w:trPr>
        <w:tc>
          <w:tcPr>
            <w:tcW w:w="2180" w:type="dxa"/>
            <w:vAlign w:val="bottom"/>
            <w:shd w:val="clear" w:color="auto" w:fill="CBDBD1"/>
          </w:tcPr>
          <w:p>
            <w:pPr>
              <w:spacing w:after="0"/>
              <w:rPr>
                <w:sz w:val="9"/>
                <w:szCs w:val="9"/>
                <w:color w:val="auto"/>
              </w:rPr>
            </w:pPr>
          </w:p>
        </w:tc>
        <w:tc>
          <w:tcPr>
            <w:tcW w:w="2400" w:type="dxa"/>
            <w:vAlign w:val="bottom"/>
            <w:vMerge w:val="continue"/>
            <w:shd w:val="clear" w:color="auto" w:fill="CBDBD1"/>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Normal Expected Monthly Cash Burn Rate: Approximately $57,000- 90,000 plus marketing and advertising</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biggest anticipated variance in expenses will relate to company’s marketing/advertising expenses to both the pharmaceutical industry and direct to consumers. Based on confirmation of successful online and traditional advertising programs, we will aggressively ramp up these programs to increase site traffic, membership database and revenue.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invested during the first 4 months of 2009 approximately $250,000 in online advertising that generated approximately 500,000+ enrollments into our database which now exceeds 1 million members. Additionally, we have begun testing a new 30 second national cable commercial to deliver approximately 70 million views/impressions at a cost of approximately $150,000 within the first quarter of 2009 (for a preview, please go to www.optimizerx.com/commercial/). Upon attaining specific advertisers, we may also have additional advertising expenses to generate maximum advertising revenue to the company. Management feels that our current cash balance will allow us to meet the expenses required to support our growth plans over the next twelve months.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there were no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1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statements annexed to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307 and 308 of Regulation S-K during the fiscal year ending December 31, 2008.</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under the Exchange Act. This rule defines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81" w:lineRule="exact"/>
        <w:rPr>
          <w:sz w:val="20"/>
          <w:szCs w:val="20"/>
          <w:color w:val="auto"/>
        </w:rPr>
      </w:pPr>
    </w:p>
    <w:p>
      <w:pPr>
        <w:ind w:left="660" w:hanging="18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jc w:val="both"/>
        <w:ind w:left="660" w:hanging="184"/>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w:t>
      </w:r>
    </w:p>
    <w:p>
      <w:pPr>
        <w:spacing w:after="0" w:line="208"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the participation of the Chief Executive Officer and the Chief Financial Officer, our management conducted an evaluation of the effectiveness of our internal control over financial reporting. Based on this evaluation, our management has concluded that our internal control over financial reporting was not effective as of December 31, 2008 as the result of a material weakness. The material weakness results from significant deficiencies in internal control that collectively constitute a material weakness.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significant deficiency is a deficiency, or combination of deficiencies, in internal control over financial reporting that is less severe than a material weakness, yet important enough to merit attention by those responsible for oversight of the registrant’s financial reporting. The Company had the following significant deficiencies at December 31, 2008:</w:t>
      </w:r>
    </w:p>
    <w:p>
      <w:pPr>
        <w:spacing w:after="0" w:line="208" w:lineRule="exact"/>
        <w:rPr>
          <w:sz w:val="20"/>
          <w:szCs w:val="20"/>
          <w:color w:val="auto"/>
        </w:rPr>
      </w:pPr>
    </w:p>
    <w:p>
      <w:pPr>
        <w:jc w:val="both"/>
        <w:ind w:left="660" w:hanging="18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currently only has one employee to oversee bank reconciliations, posting payables, and so forth, so there are no checks and balances on internal controls. Mr. David Lester recently assumed responsibilities for the company as the sole officer. Prior officers of the company have not implemented checks and balances on internal controls.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Remediation of Material Weakness</w:t>
      </w:r>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the first quarter 2009, the company engaged the accounting firm of Tama Budaj &amp; Raab P.C. to assist on the preparation of quarterly and annual financials. The firm also plans to assist the company with quickbooks assistance. The company plans to remedy internal control weaknesses during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necessarily prevent all fraud and material error. Our disclosure controls and procedures are designed to provide reasonable assurance of achieving our objectives and our Chief Executive Officer and Chief Financial Officer concluded that our disclosure controls and procedures are effective at that reasonable assurance level.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Financing Reporting</w:t>
      </w:r>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2008.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268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Position(s) and Office(s) Held</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2"/>
        </w:trPr>
        <w:tc>
          <w:tcPr>
            <w:tcW w:w="46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2680" w:type="dxa"/>
            <w:vAlign w:val="bottom"/>
            <w:gridSpan w:val="3"/>
            <w:shd w:val="clear" w:color="auto" w:fill="CBDBD1"/>
          </w:tcPr>
          <w:p>
            <w:pPr>
              <w:ind w:left="160"/>
              <w:spacing w:after="0" w:line="201" w:lineRule="exact"/>
              <w:rPr>
                <w:sz w:val="20"/>
                <w:szCs w:val="20"/>
                <w:color w:val="auto"/>
              </w:rPr>
            </w:pPr>
            <w:r>
              <w:rPr>
                <w:rFonts w:ascii="Arial" w:cs="Arial" w:eastAsia="Arial" w:hAnsi="Arial"/>
                <w:sz w:val="18"/>
                <w:szCs w:val="18"/>
                <w:color w:val="auto"/>
                <w:w w:val="92"/>
              </w:rPr>
              <w:t>Chief Executive Officer, President</w:t>
            </w:r>
          </w:p>
        </w:tc>
      </w:tr>
      <w:tr>
        <w:trPr>
          <w:trHeight w:val="230"/>
        </w:trPr>
        <w:tc>
          <w:tcPr>
            <w:tcW w:w="1460" w:type="dxa"/>
            <w:vAlign w:val="bottom"/>
            <w:gridSpan w:val="2"/>
            <w:shd w:val="clear" w:color="auto" w:fill="CBDBD1"/>
          </w:tcPr>
          <w:p>
            <w:pPr>
              <w:spacing w:after="0"/>
              <w:rPr>
                <w:sz w:val="20"/>
                <w:szCs w:val="20"/>
                <w:color w:val="auto"/>
              </w:rPr>
            </w:pPr>
            <w:r>
              <w:rPr>
                <w:rFonts w:ascii="Arial" w:cs="Arial" w:eastAsia="Arial" w:hAnsi="Arial"/>
                <w:sz w:val="18"/>
                <w:szCs w:val="18"/>
                <w:color w:val="auto"/>
              </w:rPr>
              <w:t>David A. Harrell</w:t>
            </w:r>
          </w:p>
        </w:tc>
        <w:tc>
          <w:tcPr>
            <w:tcW w:w="300" w:type="dxa"/>
            <w:vAlign w:val="bottom"/>
            <w:shd w:val="clear" w:color="auto" w:fill="CBDBD1"/>
          </w:tcPr>
          <w:p>
            <w:pPr>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BDBD1"/>
          </w:tcPr>
          <w:p>
            <w:pPr>
              <w:spacing w:after="0"/>
              <w:rPr>
                <w:sz w:val="20"/>
                <w:szCs w:val="20"/>
                <w:color w:val="auto"/>
              </w:rPr>
            </w:pPr>
          </w:p>
        </w:tc>
        <w:tc>
          <w:tcPr>
            <w:tcW w:w="2680" w:type="dxa"/>
            <w:vAlign w:val="bottom"/>
            <w:gridSpan w:val="3"/>
            <w:shd w:val="clear" w:color="auto" w:fill="CBDBD1"/>
          </w:tcPr>
          <w:p>
            <w:pPr>
              <w:ind w:left="160"/>
              <w:spacing w:after="0"/>
              <w:rPr>
                <w:sz w:val="20"/>
                <w:szCs w:val="20"/>
                <w:color w:val="auto"/>
              </w:rPr>
            </w:pPr>
            <w:r>
              <w:rPr>
                <w:rFonts w:ascii="Arial" w:cs="Arial" w:eastAsia="Arial" w:hAnsi="Arial"/>
                <w:sz w:val="18"/>
                <w:szCs w:val="18"/>
                <w:color w:val="auto"/>
              </w:rPr>
              <w:t>and Director</w:t>
            </w: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Thomas 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Majerowicz</w:t>
            </w:r>
          </w:p>
        </w:tc>
        <w:tc>
          <w:tcPr>
            <w:tcW w:w="300" w:type="dxa"/>
            <w:vAlign w:val="bottom"/>
          </w:tcPr>
          <w:p>
            <w:pPr>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2680" w:type="dxa"/>
            <w:vAlign w:val="bottom"/>
            <w:gridSpan w:val="3"/>
          </w:tcPr>
          <w:p>
            <w:pPr>
              <w:ind w:left="160"/>
              <w:spacing w:after="0"/>
              <w:rPr>
                <w:sz w:val="20"/>
                <w:szCs w:val="20"/>
                <w:color w:val="auto"/>
              </w:rPr>
            </w:pPr>
            <w:r>
              <w:rPr>
                <w:rFonts w:ascii="Arial" w:cs="Arial" w:eastAsia="Arial" w:hAnsi="Arial"/>
                <w:sz w:val="18"/>
                <w:szCs w:val="18"/>
                <w:color w:val="auto"/>
              </w:rPr>
              <w:t>Secretary and Director</w:t>
            </w:r>
          </w:p>
        </w:tc>
      </w:tr>
      <w:tr>
        <w:trPr>
          <w:trHeight w:val="202"/>
        </w:trPr>
        <w:tc>
          <w:tcPr>
            <w:tcW w:w="1460" w:type="dxa"/>
            <w:vAlign w:val="bottom"/>
            <w:gridSpan w:val="2"/>
            <w:shd w:val="clear" w:color="auto" w:fill="CBDBD1"/>
          </w:tcPr>
          <w:p>
            <w:pPr>
              <w:spacing w:after="0" w:line="201" w:lineRule="exact"/>
              <w:rPr>
                <w:sz w:val="20"/>
                <w:szCs w:val="20"/>
                <w:color w:val="auto"/>
              </w:rPr>
            </w:pPr>
            <w:r>
              <w:rPr>
                <w:rFonts w:ascii="Arial" w:cs="Arial" w:eastAsia="Arial" w:hAnsi="Arial"/>
                <w:sz w:val="18"/>
                <w:szCs w:val="18"/>
                <w:color w:val="auto"/>
              </w:rPr>
              <w:t>Terence J.</w:t>
            </w:r>
          </w:p>
        </w:tc>
        <w:tc>
          <w:tcPr>
            <w:tcW w:w="3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60" w:type="dxa"/>
            <w:vAlign w:val="bottom"/>
            <w:shd w:val="clear" w:color="auto" w:fill="CBDBD1"/>
          </w:tcPr>
          <w:p>
            <w:pPr>
              <w:spacing w:after="0"/>
              <w:rPr>
                <w:sz w:val="17"/>
                <w:szCs w:val="17"/>
                <w:color w:val="auto"/>
              </w:rPr>
            </w:pPr>
          </w:p>
        </w:tc>
        <w:tc>
          <w:tcPr>
            <w:tcW w:w="2260" w:type="dxa"/>
            <w:vAlign w:val="bottom"/>
            <w:shd w:val="clear" w:color="auto" w:fill="CBDBD1"/>
          </w:tcPr>
          <w:p>
            <w:pPr>
              <w:spacing w:after="0"/>
              <w:rPr>
                <w:sz w:val="17"/>
                <w:szCs w:val="17"/>
                <w:color w:val="auto"/>
              </w:rPr>
            </w:pPr>
          </w:p>
        </w:tc>
        <w:tc>
          <w:tcPr>
            <w:tcW w:w="260" w:type="dxa"/>
            <w:vAlign w:val="bottom"/>
            <w:shd w:val="clear" w:color="auto" w:fill="CBDBD1"/>
          </w:tcPr>
          <w:p>
            <w:pPr>
              <w:spacing w:after="0"/>
              <w:rPr>
                <w:sz w:val="17"/>
                <w:szCs w:val="17"/>
                <w:color w:val="auto"/>
              </w:rPr>
            </w:pPr>
          </w:p>
        </w:tc>
      </w:tr>
      <w:tr>
        <w:trPr>
          <w:trHeight w:val="230"/>
        </w:trPr>
        <w:tc>
          <w:tcPr>
            <w:tcW w:w="1460" w:type="dxa"/>
            <w:vAlign w:val="bottom"/>
            <w:gridSpan w:val="2"/>
            <w:shd w:val="clear" w:color="auto" w:fill="CBDBD1"/>
          </w:tcPr>
          <w:p>
            <w:pPr>
              <w:spacing w:after="0"/>
              <w:rPr>
                <w:sz w:val="20"/>
                <w:szCs w:val="20"/>
                <w:color w:val="auto"/>
              </w:rPr>
            </w:pPr>
            <w:r>
              <w:rPr>
                <w:rFonts w:ascii="Arial" w:cs="Arial" w:eastAsia="Arial" w:hAnsi="Arial"/>
                <w:sz w:val="18"/>
                <w:szCs w:val="18"/>
                <w:color w:val="auto"/>
              </w:rPr>
              <w:t>Hamilton</w:t>
            </w:r>
          </w:p>
        </w:tc>
        <w:tc>
          <w:tcPr>
            <w:tcW w:w="300" w:type="dxa"/>
            <w:vAlign w:val="bottom"/>
            <w:shd w:val="clear" w:color="auto" w:fill="CBDBD1"/>
          </w:tcPr>
          <w:p>
            <w:pPr>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BDBD1"/>
          </w:tcPr>
          <w:p>
            <w:pPr>
              <w:spacing w:after="0"/>
              <w:rPr>
                <w:sz w:val="20"/>
                <w:szCs w:val="20"/>
                <w:color w:val="auto"/>
              </w:rPr>
            </w:pPr>
          </w:p>
        </w:tc>
        <w:tc>
          <w:tcPr>
            <w:tcW w:w="2680" w:type="dxa"/>
            <w:vAlign w:val="bottom"/>
            <w:gridSpan w:val="3"/>
            <w:shd w:val="clear" w:color="auto" w:fill="CBDBD1"/>
          </w:tcPr>
          <w:p>
            <w:pPr>
              <w:ind w:left="16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5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56"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To the best of our knowledge, during the past five years, none of the following occurred with respect to a present or former director, executive officer, or employee: (1) any bankruptcy petition filed by or against any business of which such person was a general partner or executive officer either</w:t>
      </w:r>
    </w:p>
    <w:p>
      <w:pPr>
        <w:ind w:right="40"/>
        <w:spacing w:after="0" w:line="252" w:lineRule="auto"/>
        <w:rPr>
          <w:sz w:val="20"/>
          <w:szCs w:val="20"/>
          <w:color w:val="auto"/>
        </w:rPr>
      </w:pPr>
      <w:r>
        <w:rPr>
          <w:rFonts w:ascii="Arial" w:cs="Arial" w:eastAsia="Arial" w:hAnsi="Arial"/>
          <w:sz w:val="18"/>
          <w:szCs w:val="18"/>
          <w:color w:val="auto"/>
        </w:rPr>
        <w:t>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2008, the board of directors:</w:t>
      </w:r>
    </w:p>
    <w:p>
      <w:pPr>
        <w:spacing w:after="0" w:line="252" w:lineRule="exact"/>
        <w:rPr>
          <w:sz w:val="20"/>
          <w:szCs w:val="20"/>
          <w:color w:val="auto"/>
        </w:rPr>
      </w:pPr>
    </w:p>
    <w:p>
      <w:pPr>
        <w:ind w:left="660" w:hanging="2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2008 to be included in this Annual Report on Form 10-KSB and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not a reporting company under Section 12 of the Securities and Exchange Act of 1934 at the end of fiscal year December 31, 2008, and therefore do not have Section 16 reporting compliance information to report during that period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2008, we had not adopted a Code of Ethics for Financial Executives, which would include our principal executive officer, principal financial officer, principal accounting officer or controller, or persons performing similar functions.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2008, 2007 and 2006.</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SUMMARY COMPENSATION TABLE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9"/>
        </w:trPr>
        <w:tc>
          <w:tcPr>
            <w:tcW w:w="1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Non-Equity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Nonqualified</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Stock</w:t>
            </w:r>
          </w:p>
        </w:tc>
        <w:tc>
          <w:tcPr>
            <w:tcW w:w="780" w:type="dxa"/>
            <w:vAlign w:val="bottom"/>
          </w:tcPr>
          <w:p>
            <w:pPr>
              <w:ind w:left="140"/>
              <w:spacing w:after="0"/>
              <w:rPr>
                <w:sz w:val="20"/>
                <w:szCs w:val="20"/>
                <w:color w:val="auto"/>
              </w:rPr>
            </w:pPr>
            <w:r>
              <w:rPr>
                <w:rFonts w:ascii="Arial" w:cs="Arial" w:eastAsia="Arial" w:hAnsi="Arial"/>
                <w:sz w:val="18"/>
                <w:szCs w:val="18"/>
                <w:color w:val="auto"/>
              </w:rPr>
              <w:t>Option</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1"/>
              </w:rPr>
              <w:t>Incentive Plan</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00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5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2"/>
              </w:rPr>
              <w:t>Name and principal</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w w:val="99"/>
              </w:rPr>
              <w:t>Bonus Awards</w:t>
            </w:r>
          </w:p>
        </w:tc>
        <w:tc>
          <w:tcPr>
            <w:tcW w:w="780" w:type="dxa"/>
            <w:vAlign w:val="bottom"/>
          </w:tcPr>
          <w:p>
            <w:pPr>
              <w:ind w:left="120"/>
              <w:spacing w:after="0"/>
              <w:rPr>
                <w:sz w:val="20"/>
                <w:szCs w:val="20"/>
                <w:color w:val="auto"/>
              </w:rPr>
            </w:pPr>
            <w:r>
              <w:rPr>
                <w:rFonts w:ascii="Arial" w:cs="Arial" w:eastAsia="Arial" w:hAnsi="Arial"/>
                <w:sz w:val="18"/>
                <w:szCs w:val="18"/>
                <w:color w:val="auto"/>
              </w:rPr>
              <w:t>Awards</w:t>
            </w:r>
          </w:p>
        </w:tc>
        <w:tc>
          <w:tcPr>
            <w:tcW w:w="3240" w:type="dxa"/>
            <w:vAlign w:val="bottom"/>
            <w:gridSpan w:val="4"/>
          </w:tcPr>
          <w:p>
            <w:pPr>
              <w:jc w:val="center"/>
              <w:spacing w:after="0"/>
              <w:rPr>
                <w:sz w:val="20"/>
                <w:szCs w:val="20"/>
                <w:color w:val="auto"/>
              </w:rPr>
            </w:pPr>
            <w:r>
              <w:rPr>
                <w:rFonts w:ascii="Arial" w:cs="Arial" w:eastAsia="Arial" w:hAnsi="Arial"/>
                <w:sz w:val="18"/>
                <w:szCs w:val="18"/>
                <w:color w:val="auto"/>
                <w:w w:val="90"/>
              </w:rPr>
              <w:t>CompensationCompensationCompensation</w:t>
            </w:r>
          </w:p>
        </w:tc>
        <w:tc>
          <w:tcPr>
            <w:tcW w:w="580" w:type="dxa"/>
            <w:vAlign w:val="bottom"/>
          </w:tcPr>
          <w:p>
            <w:pPr>
              <w:ind w:left="100"/>
              <w:spacing w:after="0"/>
              <w:rPr>
                <w:sz w:val="20"/>
                <w:szCs w:val="20"/>
                <w:color w:val="auto"/>
              </w:rPr>
            </w:pPr>
            <w:r>
              <w:rPr>
                <w:rFonts w:ascii="Arial" w:cs="Arial" w:eastAsia="Arial" w:hAnsi="Arial"/>
                <w:sz w:val="18"/>
                <w:szCs w:val="18"/>
                <w:color w:val="auto"/>
              </w:rPr>
              <w:t>Total</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position</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w w:val="95"/>
              </w:rPr>
              <w:t>Year Salary ($)</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Earnings ($)</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46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David Harrell,</w:t>
            </w:r>
          </w:p>
        </w:tc>
        <w:tc>
          <w:tcPr>
            <w:tcW w:w="48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2008</w:t>
            </w:r>
          </w:p>
        </w:tc>
        <w:tc>
          <w:tcPr>
            <w:tcW w:w="76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144,000</w:t>
            </w:r>
          </w:p>
        </w:tc>
        <w:tc>
          <w:tcPr>
            <w:tcW w:w="540" w:type="dxa"/>
            <w:vAlign w:val="bottom"/>
            <w:gridSpan w:val="2"/>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BDBD1"/>
          </w:tcPr>
          <w:p>
            <w:pPr>
              <w:jc w:val="center"/>
              <w:spacing w:after="0" w:line="202" w:lineRule="exact"/>
              <w:rPr>
                <w:sz w:val="20"/>
                <w:szCs w:val="20"/>
                <w:color w:val="auto"/>
              </w:rPr>
            </w:pPr>
            <w:r>
              <w:rPr>
                <w:rFonts w:ascii="Arial" w:cs="Arial" w:eastAsia="Arial" w:hAnsi="Arial"/>
                <w:sz w:val="17"/>
                <w:szCs w:val="17"/>
                <w:color w:val="auto"/>
                <w:w w:val="90"/>
              </w:rPr>
              <w:t>91,000</w:t>
            </w:r>
            <w:r>
              <w:rPr>
                <w:rFonts w:ascii="Arial" w:cs="Arial" w:eastAsia="Arial" w:hAnsi="Arial"/>
                <w:sz w:val="23"/>
                <w:szCs w:val="23"/>
                <w:color w:val="auto"/>
                <w:w w:val="90"/>
                <w:vertAlign w:val="superscript"/>
              </w:rPr>
              <w:t>(1)</w:t>
            </w:r>
          </w:p>
        </w:tc>
        <w:tc>
          <w:tcPr>
            <w:tcW w:w="1040" w:type="dxa"/>
            <w:vAlign w:val="bottom"/>
            <w:shd w:val="clear" w:color="auto" w:fill="CBDBD1"/>
          </w:tcPr>
          <w:p>
            <w:pPr>
              <w:jc w:val="center"/>
              <w:ind w:left="90"/>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BDBD1"/>
          </w:tcPr>
          <w:p>
            <w:pPr>
              <w:spacing w:after="0"/>
              <w:rPr>
                <w:sz w:val="17"/>
                <w:szCs w:val="17"/>
                <w:color w:val="auto"/>
              </w:rPr>
            </w:pPr>
          </w:p>
        </w:tc>
        <w:tc>
          <w:tcPr>
            <w:tcW w:w="11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line="201" w:lineRule="exact"/>
              <w:rPr>
                <w:sz w:val="20"/>
                <w:szCs w:val="20"/>
                <w:color w:val="auto"/>
              </w:rPr>
            </w:pPr>
            <w:r>
              <w:rPr>
                <w:rFonts w:ascii="Arial" w:cs="Arial" w:eastAsia="Arial" w:hAnsi="Arial"/>
                <w:sz w:val="18"/>
                <w:szCs w:val="18"/>
                <w:color w:val="auto"/>
                <w:w w:val="89"/>
              </w:rPr>
              <w:t>235,000</w:t>
            </w:r>
          </w:p>
        </w:tc>
      </w:tr>
      <w:tr>
        <w:trPr>
          <w:trHeight w:val="216"/>
        </w:trPr>
        <w:tc>
          <w:tcPr>
            <w:tcW w:w="1460" w:type="dxa"/>
            <w:vAlign w:val="bottom"/>
            <w:shd w:val="clear" w:color="auto" w:fill="CBDBD1"/>
          </w:tcPr>
          <w:p>
            <w:pPr>
              <w:spacing w:after="0"/>
              <w:rPr>
                <w:sz w:val="20"/>
                <w:szCs w:val="20"/>
                <w:color w:val="auto"/>
              </w:rPr>
            </w:pPr>
            <w:r>
              <w:rPr>
                <w:rFonts w:ascii="Arial" w:cs="Arial" w:eastAsia="Arial" w:hAnsi="Arial"/>
                <w:sz w:val="18"/>
                <w:szCs w:val="18"/>
                <w:color w:val="auto"/>
              </w:rPr>
              <w:t>Former President</w:t>
            </w:r>
          </w:p>
        </w:tc>
        <w:tc>
          <w:tcPr>
            <w:tcW w:w="480" w:type="dxa"/>
            <w:vAlign w:val="bottom"/>
            <w:shd w:val="clear" w:color="auto" w:fill="CBDBD1"/>
          </w:tcPr>
          <w:p>
            <w:pPr>
              <w:ind w:left="40"/>
              <w:spacing w:after="0"/>
              <w:rPr>
                <w:sz w:val="20"/>
                <w:szCs w:val="20"/>
                <w:color w:val="auto"/>
              </w:rPr>
            </w:pPr>
            <w:r>
              <w:rPr>
                <w:rFonts w:ascii="Arial" w:cs="Arial" w:eastAsia="Arial" w:hAnsi="Arial"/>
                <w:sz w:val="18"/>
                <w:szCs w:val="18"/>
                <w:color w:val="auto"/>
              </w:rPr>
              <w:t>2007</w:t>
            </w:r>
          </w:p>
        </w:tc>
        <w:tc>
          <w:tcPr>
            <w:tcW w:w="7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144,000</w:t>
            </w:r>
          </w:p>
        </w:tc>
        <w:tc>
          <w:tcPr>
            <w:tcW w:w="540" w:type="dxa"/>
            <w:vAlign w:val="bottom"/>
            <w:gridSpan w:val="2"/>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BDBD1"/>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BDBD1"/>
          </w:tcPr>
          <w:p>
            <w:pPr>
              <w:spacing w:after="0"/>
              <w:rPr>
                <w:sz w:val="18"/>
                <w:szCs w:val="18"/>
                <w:color w:val="auto"/>
              </w:rPr>
            </w:pPr>
          </w:p>
        </w:tc>
        <w:tc>
          <w:tcPr>
            <w:tcW w:w="11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144,000</w:t>
            </w:r>
          </w:p>
        </w:tc>
      </w:tr>
      <w:tr>
        <w:trPr>
          <w:trHeight w:val="244"/>
        </w:trPr>
        <w:tc>
          <w:tcPr>
            <w:tcW w:w="1460" w:type="dxa"/>
            <w:vAlign w:val="bottom"/>
            <w:shd w:val="clear" w:color="auto" w:fill="CBDBD1"/>
          </w:tcPr>
          <w:p>
            <w:pPr>
              <w:spacing w:after="0"/>
              <w:rPr>
                <w:sz w:val="20"/>
                <w:szCs w:val="20"/>
                <w:color w:val="auto"/>
              </w:rPr>
            </w:pPr>
            <w:r>
              <w:rPr>
                <w:rFonts w:ascii="Arial" w:cs="Arial" w:eastAsia="Arial" w:hAnsi="Arial"/>
                <w:sz w:val="18"/>
                <w:szCs w:val="18"/>
                <w:color w:val="auto"/>
              </w:rPr>
              <w:t>and CEO</w:t>
            </w:r>
          </w:p>
        </w:tc>
        <w:tc>
          <w:tcPr>
            <w:tcW w:w="480" w:type="dxa"/>
            <w:vAlign w:val="bottom"/>
            <w:shd w:val="clear" w:color="auto" w:fill="CBDBD1"/>
          </w:tcPr>
          <w:p>
            <w:pPr>
              <w:ind w:left="40"/>
              <w:spacing w:after="0"/>
              <w:rPr>
                <w:sz w:val="20"/>
                <w:szCs w:val="20"/>
                <w:color w:val="auto"/>
              </w:rPr>
            </w:pPr>
            <w:r>
              <w:rPr>
                <w:rFonts w:ascii="Arial" w:cs="Arial" w:eastAsia="Arial" w:hAnsi="Arial"/>
                <w:sz w:val="18"/>
                <w:szCs w:val="18"/>
                <w:color w:val="auto"/>
              </w:rPr>
              <w:t>2006</w:t>
            </w:r>
          </w:p>
        </w:tc>
        <w:tc>
          <w:tcPr>
            <w:tcW w:w="7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111,000</w:t>
            </w:r>
          </w:p>
        </w:tc>
        <w:tc>
          <w:tcPr>
            <w:tcW w:w="540" w:type="dxa"/>
            <w:vAlign w:val="bottom"/>
            <w:gridSpan w:val="2"/>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BDBD1"/>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BDBD1"/>
          </w:tcPr>
          <w:p>
            <w:pPr>
              <w:spacing w:after="0"/>
              <w:rPr>
                <w:sz w:val="21"/>
                <w:szCs w:val="21"/>
                <w:color w:val="auto"/>
              </w:rPr>
            </w:pPr>
          </w:p>
        </w:tc>
        <w:tc>
          <w:tcPr>
            <w:tcW w:w="11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9"/>
              </w:rPr>
              <w:t>111,000</w:t>
            </w: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w w:val="95"/>
              </w:rPr>
              <w:t>James Vandeberg,</w:t>
            </w:r>
          </w:p>
        </w:tc>
        <w:tc>
          <w:tcPr>
            <w:tcW w:w="480" w:type="dxa"/>
            <w:vAlign w:val="bottom"/>
          </w:tcPr>
          <w:p>
            <w:pPr>
              <w:ind w:left="40"/>
              <w:spacing w:after="0" w:line="201" w:lineRule="exact"/>
              <w:rPr>
                <w:sz w:val="20"/>
                <w:szCs w:val="20"/>
                <w:color w:val="auto"/>
              </w:rPr>
            </w:pPr>
            <w:r>
              <w:rPr>
                <w:rFonts w:ascii="Arial" w:cs="Arial" w:eastAsia="Arial" w:hAnsi="Arial"/>
                <w:sz w:val="18"/>
                <w:szCs w:val="18"/>
                <w:color w:val="auto"/>
              </w:rPr>
              <w:t>2008</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Former CEO of</w:t>
            </w:r>
          </w:p>
        </w:tc>
        <w:tc>
          <w:tcPr>
            <w:tcW w:w="480" w:type="dxa"/>
            <w:vAlign w:val="bottom"/>
          </w:tcPr>
          <w:p>
            <w:pPr>
              <w:ind w:left="40"/>
              <w:spacing w:after="0"/>
              <w:rPr>
                <w:sz w:val="20"/>
                <w:szCs w:val="20"/>
                <w:color w:val="auto"/>
              </w:rPr>
            </w:pPr>
            <w:r>
              <w:rPr>
                <w:rFonts w:ascii="Arial" w:cs="Arial" w:eastAsia="Arial" w:hAnsi="Arial"/>
                <w:sz w:val="18"/>
                <w:szCs w:val="18"/>
                <w:color w:val="auto"/>
              </w:rPr>
              <w:t>2007</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RFID</w:t>
            </w:r>
          </w:p>
        </w:tc>
        <w:tc>
          <w:tcPr>
            <w:tcW w:w="480" w:type="dxa"/>
            <w:vAlign w:val="bottom"/>
          </w:tcPr>
          <w:p>
            <w:pPr>
              <w:ind w:left="40"/>
              <w:spacing w:after="0"/>
              <w:rPr>
                <w:sz w:val="20"/>
                <w:szCs w:val="20"/>
                <w:color w:val="auto"/>
              </w:rPr>
            </w:pPr>
            <w:r>
              <w:rPr>
                <w:rFonts w:ascii="Arial" w:cs="Arial" w:eastAsia="Arial" w:hAnsi="Arial"/>
                <w:sz w:val="18"/>
                <w:szCs w:val="18"/>
                <w:color w:val="auto"/>
              </w:rPr>
              <w:t>2006</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720" w:hanging="473"/>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Options to purchase 100,000 shares of Common Stock valued at $0.91 per share with an exercise price of $1.00 per share. Please see our Management’s Discussion and Analysis for a discussion on the valuation of our options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6, 2009, we entered into an employment agreement with Mr. Lester to serve as our Chief Executive Officer.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 and directors as of December 31, 2008.</w:t>
      </w:r>
    </w:p>
    <w:p>
      <w:pPr>
        <w:spacing w:after="0" w:line="19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1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OPTION AWARDS</w:t>
            </w:r>
          </w:p>
        </w:tc>
        <w:tc>
          <w:tcPr>
            <w:tcW w:w="6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STOCK AWARDS</w:t>
            </w:r>
          </w:p>
        </w:tc>
      </w:tr>
      <w:tr>
        <w:trPr>
          <w:trHeight w:val="202"/>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ind w:left="40"/>
              <w:spacing w:after="0" w:line="201" w:lineRule="exact"/>
              <w:rPr>
                <w:sz w:val="20"/>
                <w:szCs w:val="20"/>
                <w:color w:val="auto"/>
              </w:rPr>
            </w:pPr>
            <w:r>
              <w:rPr>
                <w:rFonts w:ascii="Arial" w:cs="Arial" w:eastAsia="Arial" w:hAnsi="Arial"/>
                <w:sz w:val="18"/>
                <w:szCs w:val="18"/>
                <w:color w:val="auto"/>
              </w:rPr>
              <w:t>Equity</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Equity</w:t>
            </w:r>
          </w:p>
        </w:tc>
        <w:tc>
          <w:tcPr>
            <w:tcW w:w="820" w:type="dxa"/>
            <w:vAlign w:val="bottom"/>
          </w:tcPr>
          <w:p>
            <w:pPr>
              <w:ind w:left="40"/>
              <w:spacing w:after="0"/>
              <w:rPr>
                <w:sz w:val="20"/>
                <w:szCs w:val="20"/>
                <w:color w:val="auto"/>
              </w:rPr>
            </w:pPr>
            <w:r>
              <w:rPr>
                <w:rFonts w:ascii="Arial" w:cs="Arial" w:eastAsia="Arial" w:hAnsi="Arial"/>
                <w:sz w:val="18"/>
                <w:szCs w:val="18"/>
                <w:color w:val="auto"/>
              </w:rPr>
              <w:t>Incentive</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7"/>
              </w:rPr>
              <w:t>Incentive</w:t>
            </w:r>
          </w:p>
        </w:tc>
        <w:tc>
          <w:tcPr>
            <w:tcW w:w="820" w:type="dxa"/>
            <w:vAlign w:val="bottom"/>
          </w:tcPr>
          <w:p>
            <w:pPr>
              <w:ind w:left="40"/>
              <w:spacing w:after="0"/>
              <w:rPr>
                <w:sz w:val="20"/>
                <w:szCs w:val="20"/>
                <w:color w:val="auto"/>
              </w:rPr>
            </w:pPr>
            <w:r>
              <w:rPr>
                <w:rFonts w:ascii="Arial" w:cs="Arial" w:eastAsia="Arial" w:hAnsi="Arial"/>
                <w:sz w:val="18"/>
                <w:szCs w:val="18"/>
                <w:color w:val="auto"/>
              </w:rPr>
              <w:t>Plan</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Market</w:t>
            </w:r>
          </w:p>
        </w:tc>
        <w:tc>
          <w:tcPr>
            <w:tcW w:w="760" w:type="dxa"/>
            <w:vAlign w:val="bottom"/>
          </w:tcPr>
          <w:p>
            <w:pPr>
              <w:ind w:left="80"/>
              <w:spacing w:after="0"/>
              <w:rPr>
                <w:sz w:val="20"/>
                <w:szCs w:val="20"/>
                <w:color w:val="auto"/>
              </w:rPr>
            </w:pPr>
            <w:r>
              <w:rPr>
                <w:rFonts w:ascii="Arial" w:cs="Arial" w:eastAsia="Arial" w:hAnsi="Arial"/>
                <w:sz w:val="18"/>
                <w:szCs w:val="18"/>
                <w:color w:val="auto"/>
              </w:rPr>
              <w:t>Plan</w:t>
            </w:r>
          </w:p>
        </w:tc>
        <w:tc>
          <w:tcPr>
            <w:tcW w:w="820" w:type="dxa"/>
            <w:vAlign w:val="bottom"/>
          </w:tcPr>
          <w:p>
            <w:pPr>
              <w:ind w:left="40"/>
              <w:spacing w:after="0"/>
              <w:rPr>
                <w:sz w:val="20"/>
                <w:szCs w:val="20"/>
                <w:color w:val="auto"/>
              </w:rPr>
            </w:pPr>
            <w:r>
              <w:rPr>
                <w:rFonts w:ascii="Arial" w:cs="Arial" w:eastAsia="Arial" w:hAnsi="Arial"/>
                <w:sz w:val="18"/>
                <w:szCs w:val="18"/>
                <w:color w:val="auto"/>
              </w:rPr>
              <w:t>Awards:</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Value</w:t>
            </w:r>
          </w:p>
        </w:tc>
        <w:tc>
          <w:tcPr>
            <w:tcW w:w="760" w:type="dxa"/>
            <w:vAlign w:val="bottom"/>
          </w:tcPr>
          <w:p>
            <w:pPr>
              <w:ind w:left="40"/>
              <w:spacing w:after="0"/>
              <w:rPr>
                <w:sz w:val="20"/>
                <w:szCs w:val="20"/>
                <w:color w:val="auto"/>
              </w:rPr>
            </w:pPr>
            <w:r>
              <w:rPr>
                <w:rFonts w:ascii="Arial" w:cs="Arial" w:eastAsia="Arial" w:hAnsi="Arial"/>
                <w:sz w:val="18"/>
                <w:szCs w:val="18"/>
                <w:color w:val="auto"/>
              </w:rPr>
              <w:t>Awards:</w:t>
            </w:r>
          </w:p>
        </w:tc>
        <w:tc>
          <w:tcPr>
            <w:tcW w:w="820" w:type="dxa"/>
            <w:vAlign w:val="bottom"/>
          </w:tcPr>
          <w:p>
            <w:pPr>
              <w:ind w:left="40"/>
              <w:spacing w:after="0"/>
              <w:rPr>
                <w:sz w:val="20"/>
                <w:szCs w:val="20"/>
                <w:color w:val="auto"/>
              </w:rPr>
            </w:pPr>
            <w:r>
              <w:rPr>
                <w:rFonts w:ascii="Arial" w:cs="Arial" w:eastAsia="Arial" w:hAnsi="Arial"/>
                <w:sz w:val="18"/>
                <w:szCs w:val="18"/>
                <w:color w:val="auto"/>
                <w:w w:val="99"/>
              </w:rPr>
              <w:t>Market or</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Equity</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Number</w:t>
            </w:r>
          </w:p>
        </w:tc>
        <w:tc>
          <w:tcPr>
            <w:tcW w:w="660" w:type="dxa"/>
            <w:vAlign w:val="bottom"/>
          </w:tcPr>
          <w:p>
            <w:pPr>
              <w:ind w:left="80"/>
              <w:spacing w:after="0"/>
              <w:rPr>
                <w:sz w:val="20"/>
                <w:szCs w:val="20"/>
                <w:color w:val="auto"/>
              </w:rPr>
            </w:pPr>
            <w:r>
              <w:rPr>
                <w:rFonts w:ascii="Arial" w:cs="Arial" w:eastAsia="Arial" w:hAnsi="Arial"/>
                <w:sz w:val="18"/>
                <w:szCs w:val="18"/>
                <w:color w:val="auto"/>
              </w:rPr>
              <w:t>of</w:t>
            </w:r>
          </w:p>
        </w:tc>
        <w:tc>
          <w:tcPr>
            <w:tcW w:w="760" w:type="dxa"/>
            <w:vAlign w:val="bottom"/>
          </w:tcPr>
          <w:p>
            <w:pPr>
              <w:ind w:left="80"/>
              <w:spacing w:after="0"/>
              <w:rPr>
                <w:sz w:val="20"/>
                <w:szCs w:val="20"/>
                <w:color w:val="auto"/>
              </w:rPr>
            </w:pPr>
            <w:r>
              <w:rPr>
                <w:rFonts w:ascii="Arial" w:cs="Arial" w:eastAsia="Arial" w:hAnsi="Arial"/>
                <w:sz w:val="18"/>
                <w:szCs w:val="18"/>
                <w:color w:val="auto"/>
              </w:rPr>
              <w:t>Number</w:t>
            </w:r>
          </w:p>
        </w:tc>
        <w:tc>
          <w:tcPr>
            <w:tcW w:w="820" w:type="dxa"/>
            <w:vAlign w:val="bottom"/>
          </w:tcPr>
          <w:p>
            <w:pPr>
              <w:ind w:left="40"/>
              <w:spacing w:after="0"/>
              <w:rPr>
                <w:sz w:val="20"/>
                <w:szCs w:val="20"/>
                <w:color w:val="auto"/>
              </w:rPr>
            </w:pPr>
            <w:r>
              <w:rPr>
                <w:rFonts w:ascii="Arial" w:cs="Arial" w:eastAsia="Arial" w:hAnsi="Arial"/>
                <w:sz w:val="18"/>
                <w:szCs w:val="18"/>
                <w:color w:val="auto"/>
              </w:rPr>
              <w:t>Payout</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Incentive</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of</w:t>
            </w:r>
          </w:p>
        </w:tc>
        <w:tc>
          <w:tcPr>
            <w:tcW w:w="660" w:type="dxa"/>
            <w:vAlign w:val="bottom"/>
          </w:tcPr>
          <w:p>
            <w:pPr>
              <w:ind w:left="80"/>
              <w:spacing w:after="0"/>
              <w:rPr>
                <w:sz w:val="20"/>
                <w:szCs w:val="20"/>
                <w:color w:val="auto"/>
              </w:rPr>
            </w:pPr>
            <w:r>
              <w:rPr>
                <w:rFonts w:ascii="Arial" w:cs="Arial" w:eastAsia="Arial" w:hAnsi="Arial"/>
                <w:sz w:val="18"/>
                <w:szCs w:val="18"/>
                <w:color w:val="auto"/>
                <w:w w:val="98"/>
              </w:rPr>
              <w:t>Shares</w:t>
            </w:r>
          </w:p>
        </w:tc>
        <w:tc>
          <w:tcPr>
            <w:tcW w:w="760" w:type="dxa"/>
            <w:vAlign w:val="bottom"/>
          </w:tcPr>
          <w:p>
            <w:pPr>
              <w:ind w:left="40"/>
              <w:spacing w:after="0"/>
              <w:rPr>
                <w:sz w:val="20"/>
                <w:szCs w:val="20"/>
                <w:color w:val="auto"/>
              </w:rPr>
            </w:pPr>
            <w:r>
              <w:rPr>
                <w:rFonts w:ascii="Arial" w:cs="Arial" w:eastAsia="Arial" w:hAnsi="Arial"/>
                <w:sz w:val="18"/>
                <w:szCs w:val="18"/>
                <w:color w:val="auto"/>
              </w:rPr>
              <w:t>of</w:t>
            </w:r>
          </w:p>
        </w:tc>
        <w:tc>
          <w:tcPr>
            <w:tcW w:w="820" w:type="dxa"/>
            <w:vAlign w:val="bottom"/>
          </w:tcPr>
          <w:p>
            <w:pPr>
              <w:ind w:left="40"/>
              <w:spacing w:after="0"/>
              <w:rPr>
                <w:sz w:val="20"/>
                <w:szCs w:val="20"/>
                <w:color w:val="auto"/>
              </w:rPr>
            </w:pPr>
            <w:r>
              <w:rPr>
                <w:rFonts w:ascii="Arial" w:cs="Arial" w:eastAsia="Arial" w:hAnsi="Arial"/>
                <w:sz w:val="18"/>
                <w:szCs w:val="18"/>
                <w:color w:val="auto"/>
              </w:rPr>
              <w:t>Value of</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Plan</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Shares</w:t>
            </w:r>
          </w:p>
        </w:tc>
        <w:tc>
          <w:tcPr>
            <w:tcW w:w="660" w:type="dxa"/>
            <w:vAlign w:val="bottom"/>
          </w:tcPr>
          <w:p>
            <w:pPr>
              <w:ind w:left="80"/>
              <w:spacing w:after="0"/>
              <w:rPr>
                <w:sz w:val="20"/>
                <w:szCs w:val="20"/>
                <w:color w:val="auto"/>
              </w:rPr>
            </w:pPr>
            <w:r>
              <w:rPr>
                <w:rFonts w:ascii="Arial" w:cs="Arial" w:eastAsia="Arial" w:hAnsi="Arial"/>
                <w:sz w:val="18"/>
                <w:szCs w:val="18"/>
                <w:color w:val="auto"/>
              </w:rPr>
              <w:t>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3"/>
              </w:rPr>
              <w:t>Unearned Unearned</w:t>
            </w:r>
          </w:p>
        </w:tc>
      </w:tr>
      <w:tr>
        <w:trPr>
          <w:trHeight w:val="216"/>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Awards: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or Units</w:t>
            </w:r>
          </w:p>
        </w:tc>
        <w:tc>
          <w:tcPr>
            <w:tcW w:w="660" w:type="dxa"/>
            <w:vAlign w:val="bottom"/>
          </w:tcPr>
          <w:p>
            <w:pPr>
              <w:ind w:left="80"/>
              <w:spacing w:after="0"/>
              <w:rPr>
                <w:sz w:val="20"/>
                <w:szCs w:val="20"/>
                <w:color w:val="auto"/>
              </w:rPr>
            </w:pPr>
            <w:r>
              <w:rPr>
                <w:rFonts w:ascii="Arial" w:cs="Arial" w:eastAsia="Arial" w:hAnsi="Arial"/>
                <w:sz w:val="18"/>
                <w:szCs w:val="18"/>
                <w:color w:val="auto"/>
              </w:rPr>
              <w:t>Units</w:t>
            </w:r>
          </w:p>
        </w:tc>
        <w:tc>
          <w:tcPr>
            <w:tcW w:w="760" w:type="dxa"/>
            <w:vAlign w:val="bottom"/>
          </w:tcPr>
          <w:p>
            <w:pPr>
              <w:ind w:left="80"/>
              <w:spacing w:after="0"/>
              <w:rPr>
                <w:sz w:val="20"/>
                <w:szCs w:val="20"/>
                <w:color w:val="auto"/>
              </w:rPr>
            </w:pPr>
            <w:r>
              <w:rPr>
                <w:rFonts w:ascii="Arial" w:cs="Arial" w:eastAsia="Arial" w:hAnsi="Arial"/>
                <w:sz w:val="18"/>
                <w:szCs w:val="18"/>
                <w:color w:val="auto"/>
              </w:rPr>
              <w:t>Shares,</w:t>
            </w:r>
          </w:p>
        </w:tc>
        <w:tc>
          <w:tcPr>
            <w:tcW w:w="82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216"/>
        </w:trPr>
        <w:tc>
          <w:tcPr>
            <w:tcW w:w="1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99"/>
              </w:rPr>
              <w:t>Number of</w:t>
            </w:r>
          </w:p>
        </w:tc>
        <w:tc>
          <w:tcPr>
            <w:tcW w:w="1020" w:type="dxa"/>
            <w:vAlign w:val="bottom"/>
          </w:tcPr>
          <w:p>
            <w:pPr>
              <w:ind w:left="40"/>
              <w:spacing w:after="0"/>
              <w:rPr>
                <w:sz w:val="20"/>
                <w:szCs w:val="20"/>
                <w:color w:val="auto"/>
              </w:rPr>
            </w:pPr>
            <w:r>
              <w:rPr>
                <w:rFonts w:ascii="Arial" w:cs="Arial" w:eastAsia="Arial" w:hAnsi="Arial"/>
                <w:sz w:val="18"/>
                <w:szCs w:val="18"/>
                <w:color w:val="auto"/>
              </w:rPr>
              <w:t>Number of</w:t>
            </w:r>
          </w:p>
        </w:tc>
        <w:tc>
          <w:tcPr>
            <w:tcW w:w="940" w:type="dxa"/>
            <w:vAlign w:val="bottom"/>
          </w:tcPr>
          <w:p>
            <w:pPr>
              <w:ind w:left="80"/>
              <w:spacing w:after="0"/>
              <w:rPr>
                <w:sz w:val="20"/>
                <w:szCs w:val="20"/>
                <w:color w:val="auto"/>
              </w:rPr>
            </w:pPr>
            <w:r>
              <w:rPr>
                <w:rFonts w:ascii="Arial" w:cs="Arial" w:eastAsia="Arial" w:hAnsi="Arial"/>
                <w:sz w:val="18"/>
                <w:szCs w:val="18"/>
                <w:color w:val="auto"/>
                <w:w w:val="99"/>
              </w:rPr>
              <w:t>Number of</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of</w:t>
            </w:r>
          </w:p>
        </w:tc>
        <w:tc>
          <w:tcPr>
            <w:tcW w:w="660" w:type="dxa"/>
            <w:vAlign w:val="bottom"/>
          </w:tcPr>
          <w:p>
            <w:pPr>
              <w:ind w:left="80"/>
              <w:spacing w:after="0"/>
              <w:rPr>
                <w:sz w:val="20"/>
                <w:szCs w:val="20"/>
                <w:color w:val="auto"/>
              </w:rPr>
            </w:pPr>
            <w:r>
              <w:rPr>
                <w:rFonts w:ascii="Arial" w:cs="Arial" w:eastAsia="Arial" w:hAnsi="Arial"/>
                <w:sz w:val="18"/>
                <w:szCs w:val="18"/>
                <w:color w:val="auto"/>
              </w:rPr>
              <w:t>of</w:t>
            </w:r>
          </w:p>
        </w:tc>
        <w:tc>
          <w:tcPr>
            <w:tcW w:w="760" w:type="dxa"/>
            <w:vAlign w:val="bottom"/>
          </w:tcPr>
          <w:p>
            <w:pPr>
              <w:ind w:left="40"/>
              <w:spacing w:after="0"/>
              <w:rPr>
                <w:sz w:val="20"/>
                <w:szCs w:val="20"/>
                <w:color w:val="auto"/>
              </w:rPr>
            </w:pPr>
            <w:r>
              <w:rPr>
                <w:rFonts w:ascii="Arial" w:cs="Arial" w:eastAsia="Arial" w:hAnsi="Arial"/>
                <w:sz w:val="18"/>
                <w:szCs w:val="18"/>
                <w:color w:val="auto"/>
              </w:rPr>
              <w:t>Units or</w:t>
            </w:r>
          </w:p>
        </w:tc>
        <w:tc>
          <w:tcPr>
            <w:tcW w:w="820" w:type="dxa"/>
            <w:vAlign w:val="bottom"/>
          </w:tcPr>
          <w:p>
            <w:pPr>
              <w:ind w:left="40"/>
              <w:spacing w:after="0"/>
              <w:rPr>
                <w:sz w:val="20"/>
                <w:szCs w:val="20"/>
                <w:color w:val="auto"/>
              </w:rPr>
            </w:pPr>
            <w:r>
              <w:rPr>
                <w:rFonts w:ascii="Arial" w:cs="Arial" w:eastAsia="Arial" w:hAnsi="Arial"/>
                <w:sz w:val="18"/>
                <w:szCs w:val="18"/>
                <w:color w:val="auto"/>
              </w:rPr>
              <w:t>Units or</w:t>
            </w:r>
          </w:p>
        </w:tc>
      </w:tr>
      <w:tr>
        <w:trPr>
          <w:trHeight w:val="216"/>
        </w:trPr>
        <w:tc>
          <w:tcPr>
            <w:tcW w:w="1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02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9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Stock</w:t>
            </w:r>
          </w:p>
        </w:tc>
        <w:tc>
          <w:tcPr>
            <w:tcW w:w="660" w:type="dxa"/>
            <w:vAlign w:val="bottom"/>
          </w:tcPr>
          <w:p>
            <w:pPr>
              <w:ind w:left="80"/>
              <w:spacing w:after="0"/>
              <w:rPr>
                <w:sz w:val="20"/>
                <w:szCs w:val="20"/>
                <w:color w:val="auto"/>
              </w:rPr>
            </w:pPr>
            <w:r>
              <w:rPr>
                <w:rFonts w:ascii="Arial" w:cs="Arial" w:eastAsia="Arial" w:hAnsi="Arial"/>
                <w:sz w:val="18"/>
                <w:szCs w:val="18"/>
                <w:color w:val="auto"/>
              </w:rPr>
              <w:t>Stock</w:t>
            </w:r>
          </w:p>
        </w:tc>
        <w:tc>
          <w:tcPr>
            <w:tcW w:w="760" w:type="dxa"/>
            <w:vAlign w:val="bottom"/>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Pr>
          <w:p>
            <w:pPr>
              <w:ind w:left="40"/>
              <w:spacing w:after="0"/>
              <w:rPr>
                <w:sz w:val="20"/>
                <w:szCs w:val="20"/>
                <w:color w:val="auto"/>
              </w:rPr>
            </w:pPr>
            <w:r>
              <w:rPr>
                <w:rFonts w:ascii="Arial" w:cs="Arial" w:eastAsia="Arial" w:hAnsi="Arial"/>
                <w:sz w:val="18"/>
                <w:szCs w:val="18"/>
                <w:color w:val="auto"/>
              </w:rPr>
              <w:t>Other</w:t>
            </w:r>
          </w:p>
        </w:tc>
      </w:tr>
      <w:tr>
        <w:trPr>
          <w:trHeight w:val="216"/>
        </w:trPr>
        <w:tc>
          <w:tcPr>
            <w:tcW w:w="1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97"/>
              </w:rPr>
              <w:t>Underlying</w:t>
            </w:r>
          </w:p>
        </w:tc>
        <w:tc>
          <w:tcPr>
            <w:tcW w:w="1020" w:type="dxa"/>
            <w:vAlign w:val="bottom"/>
          </w:tcPr>
          <w:p>
            <w:pPr>
              <w:ind w:left="40"/>
              <w:spacing w:after="0"/>
              <w:rPr>
                <w:sz w:val="20"/>
                <w:szCs w:val="20"/>
                <w:color w:val="auto"/>
              </w:rPr>
            </w:pPr>
            <w:r>
              <w:rPr>
                <w:rFonts w:ascii="Arial" w:cs="Arial" w:eastAsia="Arial" w:hAnsi="Arial"/>
                <w:sz w:val="18"/>
                <w:szCs w:val="18"/>
                <w:color w:val="auto"/>
              </w:rPr>
              <w:t>Underlying</w:t>
            </w:r>
          </w:p>
        </w:tc>
        <w:tc>
          <w:tcPr>
            <w:tcW w:w="940" w:type="dxa"/>
            <w:vAlign w:val="bottom"/>
          </w:tcPr>
          <w:p>
            <w:pPr>
              <w:ind w:left="80"/>
              <w:spacing w:after="0"/>
              <w:rPr>
                <w:sz w:val="20"/>
                <w:szCs w:val="20"/>
                <w:color w:val="auto"/>
              </w:rPr>
            </w:pPr>
            <w:r>
              <w:rPr>
                <w:rFonts w:ascii="Arial" w:cs="Arial" w:eastAsia="Arial" w:hAnsi="Arial"/>
                <w:sz w:val="18"/>
                <w:szCs w:val="18"/>
                <w:color w:val="auto"/>
                <w:w w:val="97"/>
              </w:rPr>
              <w:t>Underlying</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That</w:t>
            </w:r>
          </w:p>
        </w:tc>
        <w:tc>
          <w:tcPr>
            <w:tcW w:w="660" w:type="dxa"/>
            <w:vAlign w:val="bottom"/>
          </w:tcPr>
          <w:p>
            <w:pPr>
              <w:ind w:left="80"/>
              <w:spacing w:after="0"/>
              <w:rPr>
                <w:sz w:val="20"/>
                <w:szCs w:val="20"/>
                <w:color w:val="auto"/>
              </w:rPr>
            </w:pPr>
            <w:r>
              <w:rPr>
                <w:rFonts w:ascii="Arial" w:cs="Arial" w:eastAsia="Arial" w:hAnsi="Arial"/>
                <w:sz w:val="18"/>
                <w:szCs w:val="18"/>
                <w:color w:val="auto"/>
              </w:rPr>
              <w:t>That</w:t>
            </w:r>
          </w:p>
        </w:tc>
        <w:tc>
          <w:tcPr>
            <w:tcW w:w="760" w:type="dxa"/>
            <w:vAlign w:val="bottom"/>
          </w:tcPr>
          <w:p>
            <w:pPr>
              <w:ind w:left="40"/>
              <w:spacing w:after="0"/>
              <w:rPr>
                <w:sz w:val="20"/>
                <w:szCs w:val="20"/>
                <w:color w:val="auto"/>
              </w:rPr>
            </w:pPr>
            <w:r>
              <w:rPr>
                <w:rFonts w:ascii="Arial" w:cs="Arial" w:eastAsia="Arial" w:hAnsi="Arial"/>
                <w:sz w:val="18"/>
                <w:szCs w:val="18"/>
                <w:color w:val="auto"/>
              </w:rPr>
              <w:t>Rights</w:t>
            </w:r>
          </w:p>
        </w:tc>
        <w:tc>
          <w:tcPr>
            <w:tcW w:w="820" w:type="dxa"/>
            <w:vAlign w:val="bottom"/>
          </w:tcPr>
          <w:p>
            <w:pPr>
              <w:ind w:left="40"/>
              <w:spacing w:after="0"/>
              <w:rPr>
                <w:sz w:val="20"/>
                <w:szCs w:val="20"/>
                <w:color w:val="auto"/>
              </w:rPr>
            </w:pPr>
            <w:r>
              <w:rPr>
                <w:rFonts w:ascii="Arial" w:cs="Arial" w:eastAsia="Arial" w:hAnsi="Arial"/>
                <w:sz w:val="18"/>
                <w:szCs w:val="18"/>
                <w:color w:val="auto"/>
              </w:rPr>
              <w:t>Rights</w:t>
            </w:r>
          </w:p>
        </w:tc>
      </w:tr>
      <w:tr>
        <w:trPr>
          <w:trHeight w:val="216"/>
        </w:trPr>
        <w:tc>
          <w:tcPr>
            <w:tcW w:w="1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w w:val="92"/>
              </w:rPr>
              <w:t>UnexercisedUnexercised</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w w:val="93"/>
              </w:rPr>
              <w:t>Unexercised Option</w:t>
            </w:r>
          </w:p>
        </w:tc>
        <w:tc>
          <w:tcPr>
            <w:tcW w:w="9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Have</w:t>
            </w:r>
          </w:p>
        </w:tc>
        <w:tc>
          <w:tcPr>
            <w:tcW w:w="660" w:type="dxa"/>
            <w:vAlign w:val="bottom"/>
          </w:tcPr>
          <w:p>
            <w:pPr>
              <w:ind w:left="80"/>
              <w:spacing w:after="0"/>
              <w:rPr>
                <w:sz w:val="20"/>
                <w:szCs w:val="20"/>
                <w:color w:val="auto"/>
              </w:rPr>
            </w:pPr>
            <w:r>
              <w:rPr>
                <w:rFonts w:ascii="Arial" w:cs="Arial" w:eastAsia="Arial" w:hAnsi="Arial"/>
                <w:sz w:val="18"/>
                <w:szCs w:val="18"/>
                <w:color w:val="auto"/>
              </w:rPr>
              <w:t>Have</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That HaveThat</w:t>
            </w:r>
          </w:p>
        </w:tc>
      </w:tr>
      <w:tr>
        <w:trPr>
          <w:trHeight w:val="216"/>
        </w:trPr>
        <w:tc>
          <w:tcPr>
            <w:tcW w:w="1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Options</w:t>
            </w:r>
          </w:p>
        </w:tc>
        <w:tc>
          <w:tcPr>
            <w:tcW w:w="1020" w:type="dxa"/>
            <w:vAlign w:val="bottom"/>
          </w:tcPr>
          <w:p>
            <w:pPr>
              <w:ind w:left="40"/>
              <w:spacing w:after="0"/>
              <w:rPr>
                <w:sz w:val="20"/>
                <w:szCs w:val="20"/>
                <w:color w:val="auto"/>
              </w:rPr>
            </w:pPr>
            <w:r>
              <w:rPr>
                <w:rFonts w:ascii="Arial" w:cs="Arial" w:eastAsia="Arial" w:hAnsi="Arial"/>
                <w:sz w:val="18"/>
                <w:szCs w:val="18"/>
                <w:color w:val="auto"/>
              </w:rPr>
              <w:t>Options</w:t>
            </w:r>
          </w:p>
        </w:tc>
        <w:tc>
          <w:tcPr>
            <w:tcW w:w="940" w:type="dxa"/>
            <w:vAlign w:val="bottom"/>
          </w:tcPr>
          <w:p>
            <w:pPr>
              <w:ind w:left="80"/>
              <w:spacing w:after="0"/>
              <w:rPr>
                <w:sz w:val="20"/>
                <w:szCs w:val="20"/>
                <w:color w:val="auto"/>
              </w:rPr>
            </w:pPr>
            <w:r>
              <w:rPr>
                <w:rFonts w:ascii="Arial" w:cs="Arial" w:eastAsia="Arial" w:hAnsi="Arial"/>
                <w:sz w:val="18"/>
                <w:szCs w:val="18"/>
                <w:color w:val="auto"/>
              </w:rPr>
              <w:t>Unearned</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Exercise Option</w:t>
            </w:r>
          </w:p>
        </w:tc>
        <w:tc>
          <w:tcPr>
            <w:tcW w:w="740" w:type="dxa"/>
            <w:vAlign w:val="bottom"/>
          </w:tcPr>
          <w:p>
            <w:pPr>
              <w:ind w:left="60"/>
              <w:spacing w:after="0"/>
              <w:rPr>
                <w:sz w:val="20"/>
                <w:szCs w:val="20"/>
                <w:color w:val="auto"/>
              </w:rPr>
            </w:pPr>
            <w:r>
              <w:rPr>
                <w:rFonts w:ascii="Arial" w:cs="Arial" w:eastAsia="Arial" w:hAnsi="Arial"/>
                <w:sz w:val="18"/>
                <w:szCs w:val="18"/>
                <w:color w:val="auto"/>
              </w:rPr>
              <w:t>Not</w:t>
            </w:r>
          </w:p>
        </w:tc>
        <w:tc>
          <w:tcPr>
            <w:tcW w:w="660" w:type="dxa"/>
            <w:vAlign w:val="bottom"/>
          </w:tcPr>
          <w:p>
            <w:pPr>
              <w:ind w:left="80"/>
              <w:spacing w:after="0"/>
              <w:rPr>
                <w:sz w:val="20"/>
                <w:szCs w:val="20"/>
                <w:color w:val="auto"/>
              </w:rPr>
            </w:pPr>
            <w:r>
              <w:rPr>
                <w:rFonts w:ascii="Arial" w:cs="Arial" w:eastAsia="Arial" w:hAnsi="Arial"/>
                <w:sz w:val="18"/>
                <w:szCs w:val="18"/>
                <w:color w:val="auto"/>
              </w:rPr>
              <w:t>Not</w:t>
            </w:r>
          </w:p>
        </w:tc>
        <w:tc>
          <w:tcPr>
            <w:tcW w:w="760" w:type="dxa"/>
            <w:vAlign w:val="bottom"/>
          </w:tcPr>
          <w:p>
            <w:pPr>
              <w:ind w:left="80"/>
              <w:spacing w:after="0"/>
              <w:rPr>
                <w:sz w:val="20"/>
                <w:szCs w:val="20"/>
                <w:color w:val="auto"/>
              </w:rPr>
            </w:pPr>
            <w:r>
              <w:rPr>
                <w:rFonts w:ascii="Arial" w:cs="Arial" w:eastAsia="Arial" w:hAnsi="Arial"/>
                <w:sz w:val="18"/>
                <w:szCs w:val="18"/>
                <w:color w:val="auto"/>
              </w:rPr>
              <w:t>Not</w:t>
            </w:r>
          </w:p>
        </w:tc>
        <w:tc>
          <w:tcPr>
            <w:tcW w:w="820" w:type="dxa"/>
            <w:vAlign w:val="bottom"/>
          </w:tcPr>
          <w:p>
            <w:pPr>
              <w:ind w:left="40"/>
              <w:spacing w:after="0"/>
              <w:rPr>
                <w:sz w:val="20"/>
                <w:szCs w:val="20"/>
                <w:color w:val="auto"/>
              </w:rPr>
            </w:pPr>
            <w:r>
              <w:rPr>
                <w:rFonts w:ascii="Arial" w:cs="Arial" w:eastAsia="Arial" w:hAnsi="Arial"/>
                <w:sz w:val="18"/>
                <w:szCs w:val="18"/>
                <w:color w:val="auto"/>
              </w:rPr>
              <w:t>Have Not</w:t>
            </w:r>
          </w:p>
        </w:tc>
      </w:tr>
      <w:tr>
        <w:trPr>
          <w:trHeight w:val="216"/>
        </w:trPr>
        <w:tc>
          <w:tcPr>
            <w:tcW w:w="1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Options</w:t>
            </w:r>
          </w:p>
        </w:tc>
        <w:tc>
          <w:tcPr>
            <w:tcW w:w="640" w:type="dxa"/>
            <w:vAlign w:val="bottom"/>
          </w:tcPr>
          <w:p>
            <w:pPr>
              <w:ind w:left="100"/>
              <w:spacing w:after="0"/>
              <w:rPr>
                <w:sz w:val="20"/>
                <w:szCs w:val="20"/>
                <w:color w:val="auto"/>
              </w:rPr>
            </w:pPr>
            <w:r>
              <w:rPr>
                <w:rFonts w:ascii="Arial" w:cs="Arial" w:eastAsia="Arial" w:hAnsi="Arial"/>
                <w:sz w:val="18"/>
                <w:szCs w:val="18"/>
                <w:color w:val="auto"/>
              </w:rPr>
              <w:t>Price</w:t>
            </w:r>
          </w:p>
        </w:tc>
        <w:tc>
          <w:tcPr>
            <w:tcW w:w="900" w:type="dxa"/>
            <w:vAlign w:val="bottom"/>
          </w:tcPr>
          <w:p>
            <w:pPr>
              <w:ind w:left="100"/>
              <w:spacing w:after="0"/>
              <w:rPr>
                <w:sz w:val="20"/>
                <w:szCs w:val="20"/>
                <w:color w:val="auto"/>
              </w:rPr>
            </w:pPr>
            <w:r>
              <w:rPr>
                <w:rFonts w:ascii="Arial" w:cs="Arial" w:eastAsia="Arial" w:hAnsi="Arial"/>
                <w:sz w:val="18"/>
                <w:szCs w:val="18"/>
                <w:color w:val="auto"/>
                <w:w w:val="97"/>
              </w:rPr>
              <w:t>Expiration</w:t>
            </w:r>
          </w:p>
        </w:tc>
        <w:tc>
          <w:tcPr>
            <w:tcW w:w="740" w:type="dxa"/>
            <w:vAlign w:val="bottom"/>
          </w:tcPr>
          <w:p>
            <w:pPr>
              <w:ind w:left="60"/>
              <w:spacing w:after="0"/>
              <w:rPr>
                <w:sz w:val="20"/>
                <w:szCs w:val="20"/>
                <w:color w:val="auto"/>
              </w:rPr>
            </w:pPr>
            <w:r>
              <w:rPr>
                <w:rFonts w:ascii="Arial" w:cs="Arial" w:eastAsia="Arial" w:hAnsi="Arial"/>
                <w:sz w:val="18"/>
                <w:szCs w:val="18"/>
                <w:color w:val="auto"/>
              </w:rPr>
              <w:t>Vested</w:t>
            </w:r>
          </w:p>
        </w:tc>
        <w:tc>
          <w:tcPr>
            <w:tcW w:w="660" w:type="dxa"/>
            <w:vAlign w:val="bottom"/>
          </w:tcPr>
          <w:p>
            <w:pPr>
              <w:ind w:left="80"/>
              <w:spacing w:after="0"/>
              <w:rPr>
                <w:sz w:val="20"/>
                <w:szCs w:val="20"/>
                <w:color w:val="auto"/>
              </w:rPr>
            </w:pPr>
            <w:r>
              <w:rPr>
                <w:rFonts w:ascii="Arial" w:cs="Arial" w:eastAsia="Arial" w:hAnsi="Arial"/>
                <w:sz w:val="18"/>
                <w:szCs w:val="18"/>
                <w:color w:val="auto"/>
                <w:w w:val="99"/>
              </w:rPr>
              <w:t>Vested</w:t>
            </w:r>
          </w:p>
        </w:tc>
        <w:tc>
          <w:tcPr>
            <w:tcW w:w="760" w:type="dxa"/>
            <w:vAlign w:val="bottom"/>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Pr>
          <w:p>
            <w:pPr>
              <w:ind w:left="80"/>
              <w:spacing w:after="0"/>
              <w:rPr>
                <w:sz w:val="20"/>
                <w:szCs w:val="20"/>
                <w:color w:val="auto"/>
              </w:rPr>
            </w:pPr>
            <w:r>
              <w:rPr>
                <w:rFonts w:ascii="Arial" w:cs="Arial" w:eastAsia="Arial" w:hAnsi="Arial"/>
                <w:sz w:val="18"/>
                <w:szCs w:val="18"/>
                <w:color w:val="auto"/>
              </w:rPr>
              <w:t>Vested</w:t>
            </w:r>
          </w:p>
        </w:tc>
      </w:tr>
      <w:tr>
        <w:trPr>
          <w:trHeight w:val="23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8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Exercisable Unexercisable (#)</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02"/>
        </w:trPr>
        <w:tc>
          <w:tcPr>
            <w:tcW w:w="116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David Harrell</w:t>
            </w:r>
          </w:p>
        </w:tc>
        <w:tc>
          <w:tcPr>
            <w:tcW w:w="900" w:type="dxa"/>
            <w:vAlign w:val="bottom"/>
            <w:shd w:val="clear" w:color="auto" w:fill="CBDBD1"/>
          </w:tcPr>
          <w:p>
            <w:pPr>
              <w:ind w:left="40"/>
              <w:spacing w:after="0" w:line="202" w:lineRule="exact"/>
              <w:rPr>
                <w:sz w:val="20"/>
                <w:szCs w:val="20"/>
                <w:color w:val="auto"/>
              </w:rPr>
            </w:pPr>
            <w:r>
              <w:rPr>
                <w:rFonts w:ascii="Arial" w:cs="Arial" w:eastAsia="Arial" w:hAnsi="Arial"/>
                <w:sz w:val="17"/>
                <w:szCs w:val="17"/>
                <w:color w:val="auto"/>
                <w:w w:val="98"/>
              </w:rPr>
              <w:t xml:space="preserve">100,000 </w:t>
            </w:r>
            <w:r>
              <w:rPr>
                <w:rFonts w:ascii="Arial" w:cs="Arial" w:eastAsia="Arial" w:hAnsi="Arial"/>
                <w:sz w:val="23"/>
                <w:szCs w:val="23"/>
                <w:color w:val="auto"/>
                <w:w w:val="98"/>
                <w:vertAlign w:val="superscript"/>
              </w:rPr>
              <w:t>(1)</w:t>
            </w:r>
          </w:p>
        </w:tc>
        <w:tc>
          <w:tcPr>
            <w:tcW w:w="10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shd w:val="clear" w:color="auto" w:fill="CBDBD1"/>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shd w:val="clear" w:color="auto" w:fill="CBDBD1"/>
          </w:tcPr>
          <w:p>
            <w:pPr>
              <w:spacing w:after="0"/>
              <w:rPr>
                <w:sz w:val="20"/>
                <w:szCs w:val="20"/>
                <w:color w:val="auto"/>
              </w:rPr>
            </w:pPr>
          </w:p>
        </w:tc>
        <w:tc>
          <w:tcPr>
            <w:tcW w:w="900" w:type="dxa"/>
            <w:vAlign w:val="bottom"/>
            <w:shd w:val="clear" w:color="auto" w:fill="CBDBD1"/>
          </w:tcPr>
          <w:p>
            <w:pPr>
              <w:spacing w:after="0"/>
              <w:rPr>
                <w:sz w:val="20"/>
                <w:szCs w:val="20"/>
                <w:color w:val="auto"/>
              </w:rPr>
            </w:pPr>
          </w:p>
        </w:tc>
        <w:tc>
          <w:tcPr>
            <w:tcW w:w="102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640" w:type="dxa"/>
            <w:vAlign w:val="bottom"/>
            <w:shd w:val="clear" w:color="auto" w:fill="CBDBD1"/>
          </w:tcPr>
          <w:p>
            <w:pPr>
              <w:spacing w:after="0"/>
              <w:rPr>
                <w:sz w:val="20"/>
                <w:szCs w:val="20"/>
                <w:color w:val="auto"/>
              </w:rPr>
            </w:pPr>
          </w:p>
        </w:tc>
        <w:tc>
          <w:tcPr>
            <w:tcW w:w="900" w:type="dxa"/>
            <w:vAlign w:val="bottom"/>
            <w:shd w:val="clear" w:color="auto" w:fill="CBDBD1"/>
          </w:tcPr>
          <w:p>
            <w:pPr>
              <w:ind w:left="100"/>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BDBD1"/>
          </w:tcPr>
          <w:p>
            <w:pPr>
              <w:spacing w:after="0"/>
              <w:rPr>
                <w:sz w:val="20"/>
                <w:szCs w:val="20"/>
                <w:color w:val="auto"/>
              </w:rPr>
            </w:pPr>
          </w:p>
        </w:tc>
        <w:tc>
          <w:tcPr>
            <w:tcW w:w="660" w:type="dxa"/>
            <w:vAlign w:val="bottom"/>
            <w:shd w:val="clear" w:color="auto" w:fill="CBDBD1"/>
          </w:tcPr>
          <w:p>
            <w:pPr>
              <w:spacing w:after="0"/>
              <w:rPr>
                <w:sz w:val="20"/>
                <w:szCs w:val="20"/>
                <w:color w:val="auto"/>
              </w:rPr>
            </w:pPr>
          </w:p>
        </w:tc>
        <w:tc>
          <w:tcPr>
            <w:tcW w:w="760" w:type="dxa"/>
            <w:vAlign w:val="bottom"/>
            <w:shd w:val="clear" w:color="auto" w:fill="CBDBD1"/>
          </w:tcPr>
          <w:p>
            <w:pPr>
              <w:spacing w:after="0"/>
              <w:rPr>
                <w:sz w:val="20"/>
                <w:szCs w:val="20"/>
                <w:color w:val="auto"/>
              </w:rPr>
            </w:pPr>
          </w:p>
        </w:tc>
        <w:tc>
          <w:tcPr>
            <w:tcW w:w="820" w:type="dxa"/>
            <w:vAlign w:val="bottom"/>
            <w:shd w:val="clear" w:color="auto" w:fill="CBDBD1"/>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6"/>
              </w:rPr>
              <w:t>Terry Hamilton</w:t>
            </w:r>
          </w:p>
        </w:tc>
        <w:tc>
          <w:tcPr>
            <w:tcW w:w="900" w:type="dxa"/>
            <w:vAlign w:val="bottom"/>
          </w:tcPr>
          <w:p>
            <w:pPr>
              <w:ind w:left="40"/>
              <w:spacing w:after="0" w:line="202" w:lineRule="exact"/>
              <w:rPr>
                <w:sz w:val="20"/>
                <w:szCs w:val="20"/>
                <w:color w:val="auto"/>
              </w:rPr>
            </w:pPr>
            <w:r>
              <w:rPr>
                <w:rFonts w:ascii="Arial" w:cs="Arial" w:eastAsia="Arial" w:hAnsi="Arial"/>
                <w:sz w:val="17"/>
                <w:szCs w:val="17"/>
                <w:color w:val="auto"/>
                <w:w w:val="98"/>
              </w:rPr>
              <w:t xml:space="preserve">150,000 </w:t>
            </w:r>
            <w:r>
              <w:rPr>
                <w:rFonts w:ascii="Arial" w:cs="Arial" w:eastAsia="Arial" w:hAnsi="Arial"/>
                <w:sz w:val="23"/>
                <w:szCs w:val="23"/>
                <w:color w:val="auto"/>
                <w:w w:val="98"/>
                <w:vertAlign w:val="superscript"/>
              </w:rPr>
              <w:t>(1)</w:t>
            </w:r>
          </w:p>
        </w:tc>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2"/>
        </w:trPr>
        <w:tc>
          <w:tcPr>
            <w:tcW w:w="2060" w:type="dxa"/>
            <w:vAlign w:val="bottom"/>
            <w:gridSpan w:val="2"/>
            <w:shd w:val="clear" w:color="auto" w:fill="CBDBD1"/>
          </w:tcPr>
          <w:p>
            <w:pPr>
              <w:spacing w:after="0" w:line="202" w:lineRule="exact"/>
              <w:rPr>
                <w:sz w:val="20"/>
                <w:szCs w:val="20"/>
                <w:color w:val="auto"/>
              </w:rPr>
            </w:pPr>
            <w:r>
              <w:rPr>
                <w:rFonts w:ascii="Arial" w:cs="Arial" w:eastAsia="Arial" w:hAnsi="Arial"/>
                <w:sz w:val="17"/>
                <w:szCs w:val="17"/>
                <w:color w:val="auto"/>
              </w:rPr>
              <w:t xml:space="preserve">Vernon Hartman50,000 </w:t>
            </w:r>
            <w:r>
              <w:rPr>
                <w:rFonts w:ascii="Arial" w:cs="Arial" w:eastAsia="Arial" w:hAnsi="Arial"/>
                <w:sz w:val="23"/>
                <w:szCs w:val="23"/>
                <w:color w:val="auto"/>
                <w:vertAlign w:val="superscript"/>
              </w:rPr>
              <w:t>(1)</w:t>
            </w:r>
          </w:p>
        </w:tc>
        <w:tc>
          <w:tcPr>
            <w:tcW w:w="10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shd w:val="clear" w:color="auto" w:fill="CBDBD1"/>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shd w:val="clear" w:color="auto" w:fill="CBDBD1"/>
          </w:tcPr>
          <w:p>
            <w:pPr>
              <w:spacing w:after="0"/>
              <w:rPr>
                <w:sz w:val="20"/>
                <w:szCs w:val="20"/>
                <w:color w:val="auto"/>
              </w:rPr>
            </w:pPr>
          </w:p>
        </w:tc>
        <w:tc>
          <w:tcPr>
            <w:tcW w:w="900" w:type="dxa"/>
            <w:vAlign w:val="bottom"/>
            <w:shd w:val="clear" w:color="auto" w:fill="CBDBD1"/>
          </w:tcPr>
          <w:p>
            <w:pPr>
              <w:spacing w:after="0"/>
              <w:rPr>
                <w:sz w:val="20"/>
                <w:szCs w:val="20"/>
                <w:color w:val="auto"/>
              </w:rPr>
            </w:pPr>
          </w:p>
        </w:tc>
        <w:tc>
          <w:tcPr>
            <w:tcW w:w="102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640" w:type="dxa"/>
            <w:vAlign w:val="bottom"/>
            <w:shd w:val="clear" w:color="auto" w:fill="CBDBD1"/>
          </w:tcPr>
          <w:p>
            <w:pPr>
              <w:spacing w:after="0"/>
              <w:rPr>
                <w:sz w:val="20"/>
                <w:szCs w:val="20"/>
                <w:color w:val="auto"/>
              </w:rPr>
            </w:pPr>
          </w:p>
        </w:tc>
        <w:tc>
          <w:tcPr>
            <w:tcW w:w="900" w:type="dxa"/>
            <w:vAlign w:val="bottom"/>
            <w:shd w:val="clear" w:color="auto" w:fill="CBDBD1"/>
          </w:tcPr>
          <w:p>
            <w:pPr>
              <w:ind w:left="100"/>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BDBD1"/>
          </w:tcPr>
          <w:p>
            <w:pPr>
              <w:spacing w:after="0"/>
              <w:rPr>
                <w:sz w:val="20"/>
                <w:szCs w:val="20"/>
                <w:color w:val="auto"/>
              </w:rPr>
            </w:pPr>
          </w:p>
        </w:tc>
        <w:tc>
          <w:tcPr>
            <w:tcW w:w="660" w:type="dxa"/>
            <w:vAlign w:val="bottom"/>
            <w:shd w:val="clear" w:color="auto" w:fill="CBDBD1"/>
          </w:tcPr>
          <w:p>
            <w:pPr>
              <w:spacing w:after="0"/>
              <w:rPr>
                <w:sz w:val="20"/>
                <w:szCs w:val="20"/>
                <w:color w:val="auto"/>
              </w:rPr>
            </w:pPr>
          </w:p>
        </w:tc>
        <w:tc>
          <w:tcPr>
            <w:tcW w:w="760" w:type="dxa"/>
            <w:vAlign w:val="bottom"/>
            <w:shd w:val="clear" w:color="auto" w:fill="CBDBD1"/>
          </w:tcPr>
          <w:p>
            <w:pPr>
              <w:spacing w:after="0"/>
              <w:rPr>
                <w:sz w:val="20"/>
                <w:szCs w:val="20"/>
                <w:color w:val="auto"/>
              </w:rPr>
            </w:pPr>
          </w:p>
        </w:tc>
        <w:tc>
          <w:tcPr>
            <w:tcW w:w="820" w:type="dxa"/>
            <w:vAlign w:val="bottom"/>
            <w:shd w:val="clear" w:color="auto" w:fill="CBDBD1"/>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Andrew Dahl</w:t>
            </w:r>
          </w:p>
        </w:tc>
        <w:tc>
          <w:tcPr>
            <w:tcW w:w="900" w:type="dxa"/>
            <w:vAlign w:val="bottom"/>
          </w:tcPr>
          <w:p>
            <w:pPr>
              <w:ind w:left="40"/>
              <w:spacing w:after="0" w:line="202" w:lineRule="exact"/>
              <w:rPr>
                <w:sz w:val="20"/>
                <w:szCs w:val="20"/>
                <w:color w:val="auto"/>
              </w:rPr>
            </w:pPr>
            <w:r>
              <w:rPr>
                <w:rFonts w:ascii="Arial" w:cs="Arial" w:eastAsia="Arial" w:hAnsi="Arial"/>
                <w:sz w:val="17"/>
                <w:szCs w:val="17"/>
                <w:color w:val="auto"/>
              </w:rPr>
              <w:t xml:space="preserve">20,000 </w:t>
            </w:r>
            <w:r>
              <w:rPr>
                <w:rFonts w:ascii="Arial" w:cs="Arial" w:eastAsia="Arial" w:hAnsi="Arial"/>
                <w:sz w:val="23"/>
                <w:szCs w:val="23"/>
                <w:color w:val="auto"/>
                <w:vertAlign w:val="superscript"/>
              </w:rPr>
              <w:t>(1)</w:t>
            </w:r>
          </w:p>
        </w:tc>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2"/>
        </w:trPr>
        <w:tc>
          <w:tcPr>
            <w:tcW w:w="2060" w:type="dxa"/>
            <w:vAlign w:val="bottom"/>
            <w:gridSpan w:val="2"/>
            <w:shd w:val="clear" w:color="auto" w:fill="CBDBD1"/>
          </w:tcPr>
          <w:p>
            <w:pPr>
              <w:spacing w:after="0" w:line="202" w:lineRule="exact"/>
              <w:rPr>
                <w:sz w:val="20"/>
                <w:szCs w:val="20"/>
                <w:color w:val="auto"/>
              </w:rPr>
            </w:pPr>
            <w:r>
              <w:rPr>
                <w:rFonts w:ascii="Arial" w:cs="Arial" w:eastAsia="Arial" w:hAnsi="Arial"/>
                <w:sz w:val="17"/>
                <w:szCs w:val="17"/>
                <w:color w:val="auto"/>
              </w:rPr>
              <w:t xml:space="preserve">Jay Pinney, MD 25,000 </w:t>
            </w:r>
            <w:r>
              <w:rPr>
                <w:rFonts w:ascii="Arial" w:cs="Arial" w:eastAsia="Arial" w:hAnsi="Arial"/>
                <w:sz w:val="23"/>
                <w:szCs w:val="23"/>
                <w:color w:val="auto"/>
                <w:vertAlign w:val="superscript"/>
              </w:rPr>
              <w:t>(1)</w:t>
            </w:r>
          </w:p>
        </w:tc>
        <w:tc>
          <w:tcPr>
            <w:tcW w:w="10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shd w:val="clear" w:color="auto" w:fill="CBDBD1"/>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shd w:val="clear" w:color="auto" w:fill="CBDBD1"/>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shd w:val="clear" w:color="auto" w:fill="CBDBD1"/>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shd w:val="clear" w:color="auto" w:fill="CBDBD1"/>
          </w:tcPr>
          <w:p>
            <w:pPr>
              <w:spacing w:after="0"/>
              <w:rPr>
                <w:sz w:val="20"/>
                <w:szCs w:val="20"/>
                <w:color w:val="auto"/>
              </w:rPr>
            </w:pPr>
          </w:p>
        </w:tc>
        <w:tc>
          <w:tcPr>
            <w:tcW w:w="900" w:type="dxa"/>
            <w:vAlign w:val="bottom"/>
            <w:shd w:val="clear" w:color="auto" w:fill="CBDBD1"/>
          </w:tcPr>
          <w:p>
            <w:pPr>
              <w:spacing w:after="0"/>
              <w:rPr>
                <w:sz w:val="20"/>
                <w:szCs w:val="20"/>
                <w:color w:val="auto"/>
              </w:rPr>
            </w:pPr>
          </w:p>
        </w:tc>
        <w:tc>
          <w:tcPr>
            <w:tcW w:w="1020" w:type="dxa"/>
            <w:vAlign w:val="bottom"/>
            <w:shd w:val="clear" w:color="auto" w:fill="CBDBD1"/>
          </w:tcPr>
          <w:p>
            <w:pPr>
              <w:spacing w:after="0"/>
              <w:rPr>
                <w:sz w:val="20"/>
                <w:szCs w:val="20"/>
                <w:color w:val="auto"/>
              </w:rPr>
            </w:pPr>
          </w:p>
        </w:tc>
        <w:tc>
          <w:tcPr>
            <w:tcW w:w="940" w:type="dxa"/>
            <w:vAlign w:val="bottom"/>
            <w:shd w:val="clear" w:color="auto" w:fill="CBDBD1"/>
          </w:tcPr>
          <w:p>
            <w:pPr>
              <w:spacing w:after="0"/>
              <w:rPr>
                <w:sz w:val="20"/>
                <w:szCs w:val="20"/>
                <w:color w:val="auto"/>
              </w:rPr>
            </w:pPr>
          </w:p>
        </w:tc>
        <w:tc>
          <w:tcPr>
            <w:tcW w:w="640" w:type="dxa"/>
            <w:vAlign w:val="bottom"/>
            <w:shd w:val="clear" w:color="auto" w:fill="CBDBD1"/>
          </w:tcPr>
          <w:p>
            <w:pPr>
              <w:spacing w:after="0"/>
              <w:rPr>
                <w:sz w:val="20"/>
                <w:szCs w:val="20"/>
                <w:color w:val="auto"/>
              </w:rPr>
            </w:pPr>
          </w:p>
        </w:tc>
        <w:tc>
          <w:tcPr>
            <w:tcW w:w="900" w:type="dxa"/>
            <w:vAlign w:val="bottom"/>
            <w:shd w:val="clear" w:color="auto" w:fill="CBDBD1"/>
          </w:tcPr>
          <w:p>
            <w:pPr>
              <w:ind w:left="100"/>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BDBD1"/>
          </w:tcPr>
          <w:p>
            <w:pPr>
              <w:spacing w:after="0"/>
              <w:rPr>
                <w:sz w:val="20"/>
                <w:szCs w:val="20"/>
                <w:color w:val="auto"/>
              </w:rPr>
            </w:pPr>
          </w:p>
        </w:tc>
        <w:tc>
          <w:tcPr>
            <w:tcW w:w="660" w:type="dxa"/>
            <w:vAlign w:val="bottom"/>
            <w:shd w:val="clear" w:color="auto" w:fill="CBDBD1"/>
          </w:tcPr>
          <w:p>
            <w:pPr>
              <w:spacing w:after="0"/>
              <w:rPr>
                <w:sz w:val="20"/>
                <w:szCs w:val="20"/>
                <w:color w:val="auto"/>
              </w:rPr>
            </w:pPr>
          </w:p>
        </w:tc>
        <w:tc>
          <w:tcPr>
            <w:tcW w:w="760" w:type="dxa"/>
            <w:vAlign w:val="bottom"/>
            <w:shd w:val="clear" w:color="auto" w:fill="CBDBD1"/>
          </w:tcPr>
          <w:p>
            <w:pPr>
              <w:spacing w:after="0"/>
              <w:rPr>
                <w:sz w:val="20"/>
                <w:szCs w:val="20"/>
                <w:color w:val="auto"/>
              </w:rPr>
            </w:pPr>
          </w:p>
        </w:tc>
        <w:tc>
          <w:tcPr>
            <w:tcW w:w="820" w:type="dxa"/>
            <w:vAlign w:val="bottom"/>
            <w:shd w:val="clear" w:color="auto" w:fill="CBDBD1"/>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Thomas</w:t>
            </w:r>
          </w:p>
        </w:tc>
        <w:tc>
          <w:tcPr>
            <w:tcW w:w="900" w:type="dxa"/>
            <w:vAlign w:val="bottom"/>
          </w:tcPr>
          <w:p>
            <w:pPr>
              <w:ind w:left="40"/>
              <w:spacing w:after="0" w:line="202" w:lineRule="exact"/>
              <w:rPr>
                <w:sz w:val="20"/>
                <w:szCs w:val="20"/>
                <w:color w:val="auto"/>
              </w:rPr>
            </w:pPr>
            <w:r>
              <w:rPr>
                <w:rFonts w:ascii="Arial" w:cs="Arial" w:eastAsia="Arial" w:hAnsi="Arial"/>
                <w:sz w:val="17"/>
                <w:szCs w:val="17"/>
                <w:color w:val="auto"/>
              </w:rPr>
              <w:t xml:space="preserve">20,000 </w:t>
            </w:r>
            <w:r>
              <w:rPr>
                <w:rFonts w:ascii="Arial" w:cs="Arial" w:eastAsia="Arial" w:hAnsi="Arial"/>
                <w:sz w:val="23"/>
                <w:szCs w:val="23"/>
                <w:color w:val="auto"/>
                <w:vertAlign w:val="superscript"/>
              </w:rPr>
              <w:t>(1)</w:t>
            </w:r>
          </w:p>
        </w:tc>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94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ind w:left="60"/>
              <w:spacing w:after="0" w:line="201" w:lineRule="exact"/>
              <w:rPr>
                <w:sz w:val="20"/>
                <w:szCs w:val="20"/>
                <w:color w:val="auto"/>
              </w:rPr>
            </w:pPr>
            <w:r>
              <w:rPr>
                <w:rFonts w:ascii="Arial" w:cs="Arial" w:eastAsia="Arial" w:hAnsi="Arial"/>
                <w:sz w:val="18"/>
                <w:szCs w:val="18"/>
                <w:color w:val="auto"/>
              </w:rPr>
              <w:t>$1.00</w:t>
            </w:r>
          </w:p>
        </w:tc>
        <w:tc>
          <w:tcPr>
            <w:tcW w:w="900" w:type="dxa"/>
            <w:vAlign w:val="bottom"/>
          </w:tcPr>
          <w:p>
            <w:pPr>
              <w:ind w:left="100"/>
              <w:spacing w:after="0" w:line="201" w:lineRule="exact"/>
              <w:rPr>
                <w:sz w:val="20"/>
                <w:szCs w:val="20"/>
                <w:color w:val="auto"/>
              </w:rPr>
            </w:pPr>
            <w:r>
              <w:rPr>
                <w:rFonts w:ascii="Arial" w:cs="Arial" w:eastAsia="Arial" w:hAnsi="Arial"/>
                <w:sz w:val="18"/>
                <w:szCs w:val="18"/>
                <w:color w:val="auto"/>
              </w:rPr>
              <w:t>March 5,</w:t>
            </w: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76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c>
          <w:tcPr>
            <w:tcW w:w="820" w:type="dxa"/>
            <w:vAlign w:val="bottom"/>
          </w:tcPr>
          <w:p>
            <w:pPr>
              <w:ind w:left="40"/>
              <w:spacing w:after="0" w:line="201" w:lineRule="exact"/>
              <w:rPr>
                <w:sz w:val="20"/>
                <w:szCs w:val="20"/>
                <w:color w:val="auto"/>
              </w:rPr>
            </w:pPr>
            <w:r>
              <w:rPr>
                <w:rFonts w:ascii="Arial" w:cs="Arial" w:eastAsia="Arial" w:hAnsi="Arial"/>
                <w:sz w:val="18"/>
                <w:szCs w:val="18"/>
                <w:color w:val="auto"/>
              </w:rPr>
              <w:t>0</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Majerowicz</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29" w:lineRule="exact"/>
        <w:rPr>
          <w:sz w:val="20"/>
          <w:szCs w:val="20"/>
          <w:color w:val="auto"/>
        </w:rPr>
      </w:pPr>
    </w:p>
    <w:p>
      <w:pPr>
        <w:ind w:left="720" w:hanging="473"/>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options fully vested on the date of grant.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2008, the Board of Directors of the Company approved the issuance of stock options to the above individuals.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21" w:right="8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wp:posOffset>
            </wp:positionV>
            <wp:extent cx="54286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7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Fees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color w:val="auto"/>
              </w:rPr>
              <w:t>Non-Equity   Non-Qualified</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Earned or</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200" w:type="dxa"/>
            <w:vAlign w:val="bottom"/>
          </w:tcPr>
          <w:p>
            <w:pPr>
              <w:jc w:val="center"/>
              <w:spacing w:after="0"/>
              <w:rPr>
                <w:sz w:val="20"/>
                <w:szCs w:val="20"/>
                <w:color w:val="auto"/>
              </w:rPr>
            </w:pPr>
            <w:r>
              <w:rPr>
                <w:rFonts w:ascii="Arial" w:cs="Arial" w:eastAsia="Arial" w:hAnsi="Arial"/>
                <w:sz w:val="18"/>
                <w:szCs w:val="18"/>
                <w:color w:val="auto"/>
              </w:rPr>
              <w:t>All</w:t>
            </w:r>
          </w:p>
        </w:tc>
        <w:tc>
          <w:tcPr>
            <w:tcW w:w="84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Paid in</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Cash</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840" w:type="dxa"/>
            <w:vAlign w:val="bottom"/>
          </w:tcPr>
          <w:p>
            <w:pPr>
              <w:ind w:left="240"/>
              <w:spacing w:after="0"/>
              <w:rPr>
                <w:sz w:val="20"/>
                <w:szCs w:val="20"/>
                <w:color w:val="auto"/>
              </w:rPr>
            </w:pPr>
            <w:r>
              <w:rPr>
                <w:rFonts w:ascii="Arial" w:cs="Arial" w:eastAsia="Arial" w:hAnsi="Arial"/>
                <w:sz w:val="18"/>
                <w:szCs w:val="18"/>
                <w:color w:val="auto"/>
              </w:rPr>
              <w:t>Total</w:t>
            </w:r>
          </w:p>
        </w:tc>
      </w:tr>
      <w:tr>
        <w:trPr>
          <w:trHeight w:val="23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r>
      <w:tr>
        <w:trPr>
          <w:trHeight w:val="243"/>
        </w:trPr>
        <w:tc>
          <w:tcPr>
            <w:tcW w:w="1800" w:type="dxa"/>
            <w:vAlign w:val="bottom"/>
            <w:shd w:val="clear" w:color="auto" w:fill="CBDBD1"/>
          </w:tcPr>
          <w:p>
            <w:pPr>
              <w:spacing w:after="0"/>
              <w:rPr>
                <w:sz w:val="20"/>
                <w:szCs w:val="20"/>
                <w:color w:val="auto"/>
              </w:rPr>
            </w:pPr>
            <w:r>
              <w:rPr>
                <w:rFonts w:ascii="Arial" w:cs="Arial" w:eastAsia="Arial" w:hAnsi="Arial"/>
                <w:sz w:val="18"/>
                <w:szCs w:val="18"/>
                <w:color w:val="auto"/>
                <w:w w:val="97"/>
              </w:rPr>
              <w:t>Thomas E. Majerowicz</w:t>
            </w:r>
          </w:p>
        </w:tc>
        <w:tc>
          <w:tcPr>
            <w:tcW w:w="8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BDBD1"/>
          </w:tcPr>
          <w:p>
            <w:pPr>
              <w:jc w:val="right"/>
              <w:spacing w:after="0" w:line="242" w:lineRule="exact"/>
              <w:rPr>
                <w:sz w:val="20"/>
                <w:szCs w:val="20"/>
                <w:color w:val="auto"/>
              </w:rPr>
            </w:pPr>
            <w:r>
              <w:rPr>
                <w:rFonts w:ascii="Arial" w:cs="Arial" w:eastAsia="Arial" w:hAnsi="Arial"/>
                <w:sz w:val="18"/>
                <w:szCs w:val="18"/>
                <w:color w:val="auto"/>
              </w:rPr>
              <w:t>18,200</w:t>
            </w:r>
            <w:r>
              <w:rPr>
                <w:rFonts w:ascii="Arial" w:cs="Arial" w:eastAsia="Arial" w:hAnsi="Arial"/>
                <w:sz w:val="25"/>
                <w:szCs w:val="25"/>
                <w:color w:val="auto"/>
                <w:vertAlign w:val="superscript"/>
              </w:rPr>
              <w:t>(1)</w:t>
            </w:r>
          </w:p>
        </w:tc>
        <w:tc>
          <w:tcPr>
            <w:tcW w:w="11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18,200</w:t>
            </w:r>
          </w:p>
        </w:tc>
      </w:tr>
      <w:tr>
        <w:trPr>
          <w:trHeight w:val="329"/>
        </w:trPr>
        <w:tc>
          <w:tcPr>
            <w:tcW w:w="1800" w:type="dxa"/>
            <w:vAlign w:val="bottom"/>
          </w:tcPr>
          <w:p>
            <w:pPr>
              <w:spacing w:after="0"/>
              <w:rPr>
                <w:sz w:val="20"/>
                <w:szCs w:val="20"/>
                <w:color w:val="auto"/>
              </w:rPr>
            </w:pPr>
            <w:r>
              <w:rPr>
                <w:rFonts w:ascii="Arial" w:cs="Arial" w:eastAsia="Arial" w:hAnsi="Arial"/>
                <w:sz w:val="18"/>
                <w:szCs w:val="18"/>
                <w:color w:val="auto"/>
              </w:rPr>
              <w:t>Terence J. Hamilton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1"/>
              </w:rPr>
              <w:t>136,500</w:t>
            </w:r>
            <w:r>
              <w:rPr>
                <w:rFonts w:ascii="Arial" w:cs="Arial" w:eastAsia="Arial" w:hAnsi="Arial"/>
                <w:sz w:val="25"/>
                <w:szCs w:val="25"/>
                <w:color w:val="auto"/>
                <w:w w:val="91"/>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?136,500</w:t>
            </w:r>
          </w:p>
        </w:tc>
      </w:tr>
    </w:tbl>
    <w:p>
      <w:pPr>
        <w:spacing w:after="0" w:line="130" w:lineRule="exact"/>
        <w:rPr>
          <w:sz w:val="20"/>
          <w:szCs w:val="20"/>
          <w:color w:val="auto"/>
        </w:rPr>
      </w:pPr>
    </w:p>
    <w:p>
      <w:pPr>
        <w:jc w:val="both"/>
        <w:ind w:left="720" w:hanging="473"/>
        <w:spacing w:after="0" w:line="25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20,000 options to purchase common stock valued at $0.91 per share with an exercise price of $1.00 per share. 20,000 options were outstanding at the end of our fiscal 2008 year. Please see our Management’s Discussion and Analysis for a discussion on the valuation of our common stock.</w:t>
      </w:r>
    </w:p>
    <w:p>
      <w:pPr>
        <w:jc w:val="both"/>
        <w:ind w:left="720" w:hanging="473"/>
        <w:spacing w:after="0" w:line="255"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150,000 options to purchase common stock valued at $0.91 per share with an exercise price of $1.00 per share. 150,000 options were outstanding at the end of our fiscal 2008 year. Please see our Management’s Discussion and Analysis for a discussion on the valuation of our common stock.</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sets forth certain information known to us with respect to the beneficial ownership of our Common Stock as of January 30, 2009, by (1) 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12,262,958 shares of common stock issued and outstanding on December 31, 2008. Except as otherwise indicated, the address of each person named in this table is c/o OptimizeRx Corporation, 407 Sixth Street, Rochester, MI 48307.</w:t>
      </w:r>
    </w:p>
    <w:p>
      <w:pPr>
        <w:spacing w:after="0" w:line="171" w:lineRule="exact"/>
        <w:rPr>
          <w:sz w:val="20"/>
          <w:szCs w:val="20"/>
          <w:color w:val="auto"/>
        </w:rPr>
      </w:pPr>
    </w:p>
    <w:tbl>
      <w:tblPr>
        <w:tblLayout w:type="fixed"/>
        <w:tblInd w:w="236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87"/>
              </w:rPr>
              <w:t>Name and address of</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89"/>
              </w:rPr>
              <w:t>Amount of beneficial</w:t>
            </w:r>
          </w:p>
        </w:tc>
        <w:tc>
          <w:tcPr>
            <w:tcW w:w="380" w:type="dxa"/>
            <w:vAlign w:val="bottom"/>
          </w:tcPr>
          <w:p>
            <w:pPr>
              <w:spacing w:after="0"/>
              <w:rPr>
                <w:sz w:val="21"/>
                <w:szCs w:val="21"/>
                <w:color w:val="auto"/>
              </w:rPr>
            </w:pPr>
          </w:p>
        </w:tc>
        <w:tc>
          <w:tcPr>
            <w:tcW w:w="1000" w:type="dxa"/>
            <w:vAlign w:val="bottom"/>
            <w:gridSpan w:val="5"/>
          </w:tcPr>
          <w:p>
            <w:pPr>
              <w:ind w:left="20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122"/>
        </w:trPr>
        <w:tc>
          <w:tcPr>
            <w:tcW w:w="940" w:type="dxa"/>
            <w:vAlign w:val="bottom"/>
            <w:vMerge w:val="restart"/>
          </w:tcPr>
          <w:p>
            <w:pPr>
              <w:spacing w:after="0" w:line="189" w:lineRule="exact"/>
              <w:rPr>
                <w:sz w:val="20"/>
                <w:szCs w:val="20"/>
                <w:color w:val="auto"/>
              </w:rPr>
            </w:pPr>
            <w:r>
              <w:rPr>
                <w:rFonts w:ascii="Arial" w:cs="Arial" w:eastAsia="Arial" w:hAnsi="Arial"/>
                <w:sz w:val="18"/>
                <w:szCs w:val="18"/>
                <w:b w:val="1"/>
                <w:bCs w:val="1"/>
                <w:color w:val="auto"/>
                <w:w w:val="84"/>
              </w:rPr>
              <w:t>Title of class</w:t>
            </w:r>
          </w:p>
        </w:tc>
        <w:tc>
          <w:tcPr>
            <w:tcW w:w="560" w:type="dxa"/>
            <w:vAlign w:val="bottom"/>
          </w:tcPr>
          <w:p>
            <w:pPr>
              <w:spacing w:after="0"/>
              <w:rPr>
                <w:sz w:val="10"/>
                <w:szCs w:val="10"/>
                <w:color w:val="auto"/>
              </w:rPr>
            </w:pPr>
          </w:p>
        </w:tc>
        <w:tc>
          <w:tcPr>
            <w:tcW w:w="132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8"/>
                <w:szCs w:val="18"/>
                <w:b w:val="1"/>
                <w:bCs w:val="1"/>
                <w:color w:val="auto"/>
                <w:w w:val="92"/>
              </w:rPr>
              <w:t>beneficial owner</w:t>
            </w:r>
          </w:p>
        </w:tc>
        <w:tc>
          <w:tcPr>
            <w:tcW w:w="14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81"/>
              </w:rPr>
              <w:t>(1)</w:t>
            </w:r>
          </w:p>
        </w:tc>
        <w:tc>
          <w:tcPr>
            <w:tcW w:w="160" w:type="dxa"/>
            <w:vAlign w:val="bottom"/>
            <w:tcBorders>
              <w:top w:val="single" w:sz="8" w:color="auto"/>
              <w:bottom w:val="single" w:sz="8" w:color="auto"/>
            </w:tcBorders>
            <w:vMerge w:val="restart"/>
          </w:tcPr>
          <w:p>
            <w:pPr>
              <w:spacing w:after="0"/>
              <w:rPr>
                <w:sz w:val="10"/>
                <w:szCs w:val="10"/>
                <w:color w:val="auto"/>
              </w:rPr>
            </w:pPr>
          </w:p>
        </w:tc>
        <w:tc>
          <w:tcPr>
            <w:tcW w:w="5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62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Arial" w:cs="Arial" w:eastAsia="Arial" w:hAnsi="Arial"/>
                <w:sz w:val="18"/>
                <w:szCs w:val="18"/>
                <w:b w:val="1"/>
                <w:bCs w:val="1"/>
                <w:color w:val="auto"/>
              </w:rPr>
              <w:t>ownership</w:t>
            </w:r>
          </w:p>
        </w:tc>
        <w:tc>
          <w:tcPr>
            <w:tcW w:w="38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260" w:type="dxa"/>
            <w:vAlign w:val="bottom"/>
            <w:tcBorders>
              <w:top w:val="single" w:sz="8" w:color="auto"/>
              <w:bottom w:val="single" w:sz="8" w:color="auto"/>
            </w:tcBorders>
            <w:vMerge w:val="restart"/>
          </w:tcPr>
          <w:p>
            <w:pPr>
              <w:spacing w:after="0"/>
              <w:rPr>
                <w:sz w:val="10"/>
                <w:szCs w:val="10"/>
                <w:color w:val="auto"/>
              </w:rPr>
            </w:pPr>
          </w:p>
        </w:tc>
        <w:tc>
          <w:tcPr>
            <w:tcW w:w="360" w:type="dxa"/>
            <w:vAlign w:val="bottom"/>
            <w:tcBorders>
              <w:top w:val="single" w:sz="8" w:color="auto"/>
              <w:bottom w:val="single" w:sz="8" w:color="auto"/>
            </w:tcBorders>
            <w:vMerge w:val="restart"/>
          </w:tcPr>
          <w:p>
            <w:pPr>
              <w:ind w:left="20"/>
              <w:spacing w:after="0" w:line="189" w:lineRule="exact"/>
              <w:rPr>
                <w:sz w:val="20"/>
                <w:szCs w:val="20"/>
                <w:color w:val="auto"/>
              </w:rPr>
            </w:pPr>
            <w:r>
              <w:rPr>
                <w:rFonts w:ascii="Arial" w:cs="Arial" w:eastAsia="Arial" w:hAnsi="Arial"/>
                <w:sz w:val="18"/>
                <w:szCs w:val="18"/>
                <w:b w:val="1"/>
                <w:bCs w:val="1"/>
                <w:color w:val="auto"/>
                <w:w w:val="70"/>
              </w:rPr>
              <w:t>class</w:t>
            </w:r>
          </w:p>
        </w:tc>
        <w:tc>
          <w:tcPr>
            <w:tcW w:w="1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5"/>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9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Officers &amp; Directors: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BDBD1"/>
          </w:tcPr>
          <w:p>
            <w:pPr>
              <w:spacing w:after="0"/>
              <w:rPr>
                <w:sz w:val="19"/>
                <w:szCs w:val="19"/>
                <w:color w:val="auto"/>
              </w:rPr>
            </w:pPr>
          </w:p>
        </w:tc>
        <w:tc>
          <w:tcPr>
            <w:tcW w:w="2140" w:type="dxa"/>
            <w:vAlign w:val="bottom"/>
            <w:gridSpan w:val="4"/>
            <w:shd w:val="clear" w:color="auto" w:fill="CBDBD1"/>
          </w:tcPr>
          <w:p>
            <w:pPr>
              <w:spacing w:after="0" w:line="229" w:lineRule="exact"/>
              <w:rPr>
                <w:sz w:val="20"/>
                <w:szCs w:val="20"/>
                <w:color w:val="auto"/>
              </w:rPr>
            </w:pPr>
            <w:r>
              <w:rPr>
                <w:rFonts w:ascii="Arial" w:cs="Arial" w:eastAsia="Arial" w:hAnsi="Arial"/>
                <w:sz w:val="18"/>
                <w:szCs w:val="18"/>
                <w:color w:val="auto"/>
              </w:rPr>
              <w:t>David A. Harrell</w:t>
            </w:r>
            <w:r>
              <w:rPr>
                <w:rFonts w:ascii="Arial" w:cs="Arial" w:eastAsia="Arial" w:hAnsi="Arial"/>
                <w:sz w:val="25"/>
                <w:szCs w:val="25"/>
                <w:b w:val="1"/>
                <w:bCs w:val="1"/>
                <w:color w:val="auto"/>
                <w:vertAlign w:val="superscript"/>
              </w:rPr>
              <w:t>(3)</w:t>
            </w:r>
          </w:p>
        </w:tc>
        <w:tc>
          <w:tcPr>
            <w:tcW w:w="100" w:type="dxa"/>
            <w:vAlign w:val="bottom"/>
            <w:shd w:val="clear" w:color="auto" w:fill="CBDBD1"/>
          </w:tcPr>
          <w:p>
            <w:pPr>
              <w:spacing w:after="0"/>
              <w:rPr>
                <w:sz w:val="19"/>
                <w:szCs w:val="19"/>
                <w:color w:val="auto"/>
              </w:rPr>
            </w:pPr>
          </w:p>
        </w:tc>
        <w:tc>
          <w:tcPr>
            <w:tcW w:w="2000" w:type="dxa"/>
            <w:vAlign w:val="bottom"/>
            <w:gridSpan w:val="3"/>
            <w:shd w:val="clear" w:color="auto" w:fill="CBDBD1"/>
          </w:tcPr>
          <w:p>
            <w:pPr>
              <w:jc w:val="right"/>
              <w:ind w:right="200"/>
              <w:spacing w:after="0"/>
              <w:rPr>
                <w:sz w:val="20"/>
                <w:szCs w:val="20"/>
                <w:color w:val="auto"/>
              </w:rPr>
            </w:pPr>
            <w:r>
              <w:rPr>
                <w:rFonts w:ascii="Arial" w:cs="Arial" w:eastAsia="Arial" w:hAnsi="Arial"/>
                <w:sz w:val="18"/>
                <w:szCs w:val="18"/>
                <w:color w:val="auto"/>
              </w:rPr>
              <w:t>3,612,250 shares</w:t>
            </w:r>
          </w:p>
        </w:tc>
        <w:tc>
          <w:tcPr>
            <w:tcW w:w="1000" w:type="dxa"/>
            <w:vAlign w:val="bottom"/>
            <w:gridSpan w:val="5"/>
            <w:shd w:val="clear" w:color="auto" w:fill="CBDBD1"/>
          </w:tcPr>
          <w:p>
            <w:pPr>
              <w:jc w:val="right"/>
              <w:ind w:right="2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Common</w:t>
            </w:r>
          </w:p>
        </w:tc>
        <w:tc>
          <w:tcPr>
            <w:tcW w:w="560" w:type="dxa"/>
            <w:vAlign w:val="bottom"/>
          </w:tcPr>
          <w:p>
            <w:pPr>
              <w:spacing w:after="0"/>
              <w:rPr>
                <w:sz w:val="19"/>
                <w:szCs w:val="19"/>
                <w:color w:val="auto"/>
              </w:rPr>
            </w:pPr>
          </w:p>
        </w:tc>
        <w:tc>
          <w:tcPr>
            <w:tcW w:w="2140" w:type="dxa"/>
            <w:vAlign w:val="bottom"/>
            <w:gridSpan w:val="4"/>
          </w:tcPr>
          <w:p>
            <w:pPr>
              <w:spacing w:after="0" w:line="229" w:lineRule="exact"/>
              <w:rPr>
                <w:sz w:val="20"/>
                <w:szCs w:val="20"/>
                <w:color w:val="auto"/>
              </w:rPr>
            </w:pPr>
            <w:r>
              <w:rPr>
                <w:rFonts w:ascii="Arial" w:cs="Arial" w:eastAsia="Arial" w:hAnsi="Arial"/>
                <w:sz w:val="18"/>
                <w:szCs w:val="18"/>
                <w:color w:val="auto"/>
              </w:rPr>
              <w:t>Thomas E. Majerowicz</w:t>
            </w:r>
            <w:r>
              <w:rPr>
                <w:rFonts w:ascii="Arial" w:cs="Arial" w:eastAsia="Arial" w:hAnsi="Arial"/>
                <w:sz w:val="25"/>
                <w:szCs w:val="25"/>
                <w:b w:val="1"/>
                <w:bCs w:val="1"/>
                <w:color w:val="auto"/>
                <w:vertAlign w:val="superscript"/>
              </w:rPr>
              <w:t>(4)</w:t>
            </w:r>
          </w:p>
        </w:tc>
        <w:tc>
          <w:tcPr>
            <w:tcW w:w="100" w:type="dxa"/>
            <w:vAlign w:val="bottom"/>
          </w:tcPr>
          <w:p>
            <w:pPr>
              <w:spacing w:after="0"/>
              <w:rPr>
                <w:sz w:val="19"/>
                <w:szCs w:val="19"/>
                <w:color w:val="auto"/>
              </w:rPr>
            </w:pPr>
          </w:p>
        </w:tc>
        <w:tc>
          <w:tcPr>
            <w:tcW w:w="2000" w:type="dxa"/>
            <w:vAlign w:val="bottom"/>
            <w:gridSpan w:val="3"/>
          </w:tcPr>
          <w:p>
            <w:pPr>
              <w:jc w:val="right"/>
              <w:ind w:right="200"/>
              <w:spacing w:after="0"/>
              <w:rPr>
                <w:sz w:val="20"/>
                <w:szCs w:val="20"/>
                <w:color w:val="auto"/>
              </w:rPr>
            </w:pPr>
            <w:r>
              <w:rPr>
                <w:rFonts w:ascii="Arial" w:cs="Arial" w:eastAsia="Arial" w:hAnsi="Arial"/>
                <w:sz w:val="18"/>
                <w:szCs w:val="18"/>
                <w:color w:val="auto"/>
              </w:rPr>
              <w:t>242,750 shares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BDBD1"/>
          </w:tcPr>
          <w:p>
            <w:pPr>
              <w:spacing w:after="0"/>
              <w:rPr>
                <w:sz w:val="19"/>
                <w:szCs w:val="19"/>
                <w:color w:val="auto"/>
              </w:rPr>
            </w:pPr>
          </w:p>
        </w:tc>
        <w:tc>
          <w:tcPr>
            <w:tcW w:w="2140" w:type="dxa"/>
            <w:vAlign w:val="bottom"/>
            <w:gridSpan w:val="4"/>
            <w:shd w:val="clear" w:color="auto" w:fill="CBDBD1"/>
          </w:tcPr>
          <w:p>
            <w:pPr>
              <w:spacing w:after="0" w:line="229" w:lineRule="exact"/>
              <w:rPr>
                <w:sz w:val="20"/>
                <w:szCs w:val="20"/>
                <w:color w:val="auto"/>
              </w:rPr>
            </w:pPr>
            <w:r>
              <w:rPr>
                <w:rFonts w:ascii="Arial" w:cs="Arial" w:eastAsia="Arial" w:hAnsi="Arial"/>
                <w:sz w:val="18"/>
                <w:szCs w:val="18"/>
                <w:color w:val="auto"/>
              </w:rPr>
              <w:t>Terence J. Hamilton</w:t>
            </w:r>
            <w:r>
              <w:rPr>
                <w:rFonts w:ascii="Arial" w:cs="Arial" w:eastAsia="Arial" w:hAnsi="Arial"/>
                <w:sz w:val="25"/>
                <w:szCs w:val="25"/>
                <w:b w:val="1"/>
                <w:bCs w:val="1"/>
                <w:color w:val="auto"/>
                <w:vertAlign w:val="superscript"/>
              </w:rPr>
              <w:t>(5)</w:t>
            </w:r>
          </w:p>
        </w:tc>
        <w:tc>
          <w:tcPr>
            <w:tcW w:w="100" w:type="dxa"/>
            <w:vAlign w:val="bottom"/>
            <w:shd w:val="clear" w:color="auto" w:fill="CBDBD1"/>
          </w:tcPr>
          <w:p>
            <w:pPr>
              <w:spacing w:after="0"/>
              <w:rPr>
                <w:sz w:val="19"/>
                <w:szCs w:val="19"/>
                <w:color w:val="auto"/>
              </w:rPr>
            </w:pPr>
          </w:p>
        </w:tc>
        <w:tc>
          <w:tcPr>
            <w:tcW w:w="2000" w:type="dxa"/>
            <w:vAlign w:val="bottom"/>
            <w:gridSpan w:val="3"/>
            <w:shd w:val="clear" w:color="auto" w:fill="CBDBD1"/>
          </w:tcPr>
          <w:p>
            <w:pPr>
              <w:jc w:val="right"/>
              <w:ind w:right="200"/>
              <w:spacing w:after="0"/>
              <w:rPr>
                <w:sz w:val="20"/>
                <w:szCs w:val="20"/>
                <w:color w:val="auto"/>
              </w:rPr>
            </w:pPr>
            <w:r>
              <w:rPr>
                <w:rFonts w:ascii="Arial" w:cs="Arial" w:eastAsia="Arial" w:hAnsi="Arial"/>
                <w:sz w:val="18"/>
                <w:szCs w:val="18"/>
                <w:color w:val="auto"/>
              </w:rPr>
              <w:t>595,500 shares</w:t>
            </w:r>
          </w:p>
        </w:tc>
        <w:tc>
          <w:tcPr>
            <w:tcW w:w="980" w:type="dxa"/>
            <w:vAlign w:val="bottom"/>
            <w:gridSpan w:val="4"/>
            <w:shd w:val="clear" w:color="auto" w:fill="CBDBD1"/>
          </w:tcPr>
          <w:p>
            <w:pPr>
              <w:jc w:val="right"/>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4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w w:val="94"/>
              </w:rPr>
              <w:t>Total of All Directors and Executive Officers:</w:t>
            </w:r>
          </w:p>
        </w:tc>
        <w:tc>
          <w:tcPr>
            <w:tcW w:w="100" w:type="dxa"/>
            <w:vAlign w:val="bottom"/>
          </w:tcPr>
          <w:p>
            <w:pPr>
              <w:spacing w:after="0"/>
              <w:rPr>
                <w:sz w:val="17"/>
                <w:szCs w:val="17"/>
                <w:color w:val="auto"/>
              </w:rPr>
            </w:pPr>
          </w:p>
        </w:tc>
        <w:tc>
          <w:tcPr>
            <w:tcW w:w="200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rPr>
              <w:t>4,450,500 shares</w:t>
            </w:r>
          </w:p>
        </w:tc>
        <w:tc>
          <w:tcPr>
            <w:tcW w:w="98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rPr>
              <w:t>35.51%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6"/>
          </w:tcPr>
          <w:p>
            <w:pPr>
              <w:spacing w:after="0"/>
              <w:rPr>
                <w:sz w:val="20"/>
                <w:szCs w:val="20"/>
                <w:color w:val="auto"/>
              </w:rPr>
            </w:pPr>
            <w:r>
              <w:rPr>
                <w:rFonts w:ascii="Arial" w:cs="Arial" w:eastAsia="Arial" w:hAnsi="Arial"/>
                <w:sz w:val="18"/>
                <w:szCs w:val="18"/>
                <w:b w:val="1"/>
                <w:bCs w:val="1"/>
                <w:color w:val="auto"/>
              </w:rPr>
              <w:t>More Than 5% Beneficial Owners: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40" w:type="dxa"/>
            <w:vAlign w:val="bottom"/>
            <w:shd w:val="clear" w:color="auto" w:fill="CBDBD1"/>
          </w:tcPr>
          <w:p>
            <w:pPr>
              <w:spacing w:after="0" w:line="198" w:lineRule="exact"/>
              <w:rPr>
                <w:sz w:val="20"/>
                <w:szCs w:val="20"/>
                <w:color w:val="auto"/>
              </w:rPr>
            </w:pPr>
            <w:r>
              <w:rPr>
                <w:rFonts w:ascii="Arial" w:cs="Arial" w:eastAsia="Arial" w:hAnsi="Arial"/>
                <w:sz w:val="18"/>
                <w:szCs w:val="18"/>
                <w:color w:val="auto"/>
              </w:rPr>
              <w:t>Common</w:t>
            </w:r>
          </w:p>
        </w:tc>
        <w:tc>
          <w:tcPr>
            <w:tcW w:w="560" w:type="dxa"/>
            <w:vAlign w:val="bottom"/>
            <w:shd w:val="clear" w:color="auto" w:fill="CBDBD1"/>
          </w:tcPr>
          <w:p>
            <w:pPr>
              <w:spacing w:after="0"/>
              <w:rPr>
                <w:sz w:val="17"/>
                <w:szCs w:val="17"/>
                <w:color w:val="auto"/>
              </w:rPr>
            </w:pPr>
          </w:p>
        </w:tc>
        <w:tc>
          <w:tcPr>
            <w:tcW w:w="2140" w:type="dxa"/>
            <w:vAlign w:val="bottom"/>
            <w:gridSpan w:val="4"/>
            <w:shd w:val="clear" w:color="auto" w:fill="CBDBD1"/>
          </w:tcPr>
          <w:p>
            <w:pPr>
              <w:spacing w:after="0" w:line="198" w:lineRule="exact"/>
              <w:rPr>
                <w:sz w:val="20"/>
                <w:szCs w:val="20"/>
                <w:color w:val="auto"/>
              </w:rPr>
            </w:pPr>
            <w:r>
              <w:rPr>
                <w:rFonts w:ascii="Arial" w:cs="Arial" w:eastAsia="Arial" w:hAnsi="Arial"/>
                <w:sz w:val="18"/>
                <w:szCs w:val="18"/>
                <w:color w:val="auto"/>
              </w:rPr>
              <w:t>Richard J. Kraniak Roth</w:t>
            </w:r>
          </w:p>
        </w:tc>
        <w:tc>
          <w:tcPr>
            <w:tcW w:w="100" w:type="dxa"/>
            <w:vAlign w:val="bottom"/>
            <w:shd w:val="clear" w:color="auto" w:fill="CBDBD1"/>
          </w:tcPr>
          <w:p>
            <w:pPr>
              <w:spacing w:after="0"/>
              <w:rPr>
                <w:sz w:val="17"/>
                <w:szCs w:val="17"/>
                <w:color w:val="auto"/>
              </w:rPr>
            </w:pPr>
          </w:p>
        </w:tc>
        <w:tc>
          <w:tcPr>
            <w:tcW w:w="2000" w:type="dxa"/>
            <w:vAlign w:val="bottom"/>
            <w:gridSpan w:val="3"/>
            <w:shd w:val="clear" w:color="auto" w:fill="CBDBD1"/>
          </w:tcPr>
          <w:p>
            <w:pPr>
              <w:jc w:val="right"/>
              <w:ind w:right="200"/>
              <w:spacing w:after="0" w:line="198" w:lineRule="exact"/>
              <w:rPr>
                <w:sz w:val="20"/>
                <w:szCs w:val="20"/>
                <w:color w:val="auto"/>
              </w:rPr>
            </w:pPr>
            <w:r>
              <w:rPr>
                <w:rFonts w:ascii="Arial" w:cs="Arial" w:eastAsia="Arial" w:hAnsi="Arial"/>
                <w:sz w:val="18"/>
                <w:szCs w:val="18"/>
                <w:color w:val="auto"/>
              </w:rPr>
              <w:t>1,250,000 shares</w:t>
            </w:r>
          </w:p>
        </w:tc>
        <w:tc>
          <w:tcPr>
            <w:tcW w:w="1000" w:type="dxa"/>
            <w:vAlign w:val="bottom"/>
            <w:gridSpan w:val="5"/>
            <w:shd w:val="clear" w:color="auto" w:fill="CBDBD1"/>
          </w:tcPr>
          <w:p>
            <w:pPr>
              <w:jc w:val="right"/>
              <w:ind w:right="20"/>
              <w:spacing w:after="0" w:line="198" w:lineRule="exact"/>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8"/>
        </w:trPr>
        <w:tc>
          <w:tcPr>
            <w:tcW w:w="940" w:type="dxa"/>
            <w:vAlign w:val="bottom"/>
            <w:shd w:val="clear" w:color="auto" w:fill="CBDBD1"/>
          </w:tcPr>
          <w:p>
            <w:pPr>
              <w:spacing w:after="0"/>
              <w:rPr>
                <w:sz w:val="21"/>
                <w:szCs w:val="21"/>
                <w:color w:val="auto"/>
              </w:rPr>
            </w:pPr>
          </w:p>
        </w:tc>
        <w:tc>
          <w:tcPr>
            <w:tcW w:w="560" w:type="dxa"/>
            <w:vAlign w:val="bottom"/>
            <w:shd w:val="clear" w:color="auto" w:fill="CBDBD1"/>
          </w:tcPr>
          <w:p>
            <w:pPr>
              <w:spacing w:after="0"/>
              <w:rPr>
                <w:sz w:val="21"/>
                <w:szCs w:val="21"/>
                <w:color w:val="auto"/>
              </w:rPr>
            </w:pPr>
          </w:p>
        </w:tc>
        <w:tc>
          <w:tcPr>
            <w:tcW w:w="2140" w:type="dxa"/>
            <w:vAlign w:val="bottom"/>
            <w:gridSpan w:val="4"/>
            <w:shd w:val="clear" w:color="auto" w:fill="CBDBD1"/>
          </w:tcPr>
          <w:p>
            <w:pPr>
              <w:spacing w:after="0" w:line="247" w:lineRule="exact"/>
              <w:rPr>
                <w:sz w:val="20"/>
                <w:szCs w:val="20"/>
                <w:color w:val="auto"/>
              </w:rPr>
            </w:pPr>
            <w:r>
              <w:rPr>
                <w:rFonts w:ascii="Arial" w:cs="Arial" w:eastAsia="Arial" w:hAnsi="Arial"/>
                <w:sz w:val="18"/>
                <w:szCs w:val="18"/>
                <w:color w:val="auto"/>
              </w:rPr>
              <w:t>IRA</w:t>
            </w:r>
            <w:r>
              <w:rPr>
                <w:rFonts w:ascii="Arial" w:cs="Arial" w:eastAsia="Arial" w:hAnsi="Arial"/>
                <w:sz w:val="25"/>
                <w:szCs w:val="25"/>
                <w:b w:val="1"/>
                <w:bCs w:val="1"/>
                <w:color w:val="auto"/>
                <w:vertAlign w:val="superscript"/>
              </w:rPr>
              <w:t>(6)</w:t>
            </w:r>
          </w:p>
        </w:tc>
        <w:tc>
          <w:tcPr>
            <w:tcW w:w="100" w:type="dxa"/>
            <w:vAlign w:val="bottom"/>
            <w:shd w:val="clear" w:color="auto" w:fill="CBDBD1"/>
          </w:tcPr>
          <w:p>
            <w:pPr>
              <w:spacing w:after="0"/>
              <w:rPr>
                <w:sz w:val="21"/>
                <w:szCs w:val="21"/>
                <w:color w:val="auto"/>
              </w:rPr>
            </w:pPr>
          </w:p>
        </w:tc>
        <w:tc>
          <w:tcPr>
            <w:tcW w:w="800" w:type="dxa"/>
            <w:vAlign w:val="bottom"/>
            <w:shd w:val="clear" w:color="auto" w:fill="CBDBD1"/>
          </w:tcPr>
          <w:p>
            <w:pPr>
              <w:spacing w:after="0"/>
              <w:rPr>
                <w:sz w:val="21"/>
                <w:szCs w:val="21"/>
                <w:color w:val="auto"/>
              </w:rPr>
            </w:pPr>
          </w:p>
        </w:tc>
        <w:tc>
          <w:tcPr>
            <w:tcW w:w="820" w:type="dxa"/>
            <w:vAlign w:val="bottom"/>
            <w:shd w:val="clear" w:color="auto" w:fill="CBDBD1"/>
          </w:tcPr>
          <w:p>
            <w:pPr>
              <w:spacing w:after="0"/>
              <w:rPr>
                <w:sz w:val="21"/>
                <w:szCs w:val="21"/>
                <w:color w:val="auto"/>
              </w:rPr>
            </w:pPr>
          </w:p>
        </w:tc>
        <w:tc>
          <w:tcPr>
            <w:tcW w:w="380" w:type="dxa"/>
            <w:vAlign w:val="bottom"/>
            <w:shd w:val="clear" w:color="auto" w:fill="CBDBD1"/>
          </w:tcPr>
          <w:p>
            <w:pPr>
              <w:spacing w:after="0"/>
              <w:rPr>
                <w:sz w:val="21"/>
                <w:szCs w:val="21"/>
                <w:color w:val="auto"/>
              </w:rPr>
            </w:pPr>
          </w:p>
        </w:tc>
        <w:tc>
          <w:tcPr>
            <w:tcW w:w="200" w:type="dxa"/>
            <w:vAlign w:val="bottom"/>
            <w:shd w:val="clear" w:color="auto" w:fill="CBDBD1"/>
          </w:tcPr>
          <w:p>
            <w:pPr>
              <w:spacing w:after="0"/>
              <w:rPr>
                <w:sz w:val="21"/>
                <w:szCs w:val="21"/>
                <w:color w:val="auto"/>
              </w:rPr>
            </w:pPr>
          </w:p>
        </w:tc>
        <w:tc>
          <w:tcPr>
            <w:tcW w:w="260" w:type="dxa"/>
            <w:vAlign w:val="bottom"/>
            <w:shd w:val="clear" w:color="auto" w:fill="CBDBD1"/>
          </w:tcPr>
          <w:p>
            <w:pPr>
              <w:spacing w:after="0"/>
              <w:rPr>
                <w:sz w:val="21"/>
                <w:szCs w:val="21"/>
                <w:color w:val="auto"/>
              </w:rPr>
            </w:pPr>
          </w:p>
        </w:tc>
        <w:tc>
          <w:tcPr>
            <w:tcW w:w="360" w:type="dxa"/>
            <w:vAlign w:val="bottom"/>
            <w:shd w:val="clear" w:color="auto" w:fill="CBDBD1"/>
          </w:tcPr>
          <w:p>
            <w:pPr>
              <w:spacing w:after="0"/>
              <w:rPr>
                <w:sz w:val="21"/>
                <w:szCs w:val="21"/>
                <w:color w:val="auto"/>
              </w:rPr>
            </w:pPr>
          </w:p>
        </w:tc>
        <w:tc>
          <w:tcPr>
            <w:tcW w:w="160" w:type="dxa"/>
            <w:vAlign w:val="bottom"/>
            <w:shd w:val="clear" w:color="auto" w:fill="CBDBD1"/>
          </w:tcPr>
          <w:p>
            <w:pPr>
              <w:spacing w:after="0"/>
              <w:rPr>
                <w:sz w:val="21"/>
                <w:szCs w:val="21"/>
                <w:color w:val="auto"/>
              </w:rPr>
            </w:pPr>
          </w:p>
        </w:tc>
        <w:tc>
          <w:tcPr>
            <w:tcW w:w="20" w:type="dxa"/>
            <w:vAlign w:val="bottom"/>
            <w:shd w:val="clear" w:color="auto" w:fill="CBDBD1"/>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Common</w:t>
            </w:r>
          </w:p>
        </w:tc>
        <w:tc>
          <w:tcPr>
            <w:tcW w:w="560" w:type="dxa"/>
            <w:vAlign w:val="bottom"/>
          </w:tcPr>
          <w:p>
            <w:pPr>
              <w:spacing w:after="0"/>
              <w:rPr>
                <w:sz w:val="19"/>
                <w:szCs w:val="19"/>
                <w:color w:val="auto"/>
              </w:rPr>
            </w:pPr>
          </w:p>
        </w:tc>
        <w:tc>
          <w:tcPr>
            <w:tcW w:w="2140" w:type="dxa"/>
            <w:vAlign w:val="bottom"/>
            <w:gridSpan w:val="4"/>
          </w:tcPr>
          <w:p>
            <w:pPr>
              <w:spacing w:after="0" w:line="229" w:lineRule="exact"/>
              <w:rPr>
                <w:sz w:val="20"/>
                <w:szCs w:val="20"/>
                <w:color w:val="auto"/>
              </w:rPr>
            </w:pPr>
            <w:r>
              <w:rPr>
                <w:rFonts w:ascii="Arial" w:cs="Arial" w:eastAsia="Arial" w:hAnsi="Arial"/>
                <w:sz w:val="18"/>
                <w:szCs w:val="18"/>
                <w:color w:val="auto"/>
              </w:rPr>
              <w:t>Cypress Trust</w:t>
            </w:r>
            <w:r>
              <w:rPr>
                <w:rFonts w:ascii="Arial" w:cs="Arial" w:eastAsia="Arial" w:hAnsi="Arial"/>
                <w:sz w:val="25"/>
                <w:szCs w:val="25"/>
                <w:b w:val="1"/>
                <w:bCs w:val="1"/>
                <w:color w:val="auto"/>
                <w:vertAlign w:val="superscript"/>
              </w:rPr>
              <w:t>(7)</w:t>
            </w:r>
          </w:p>
        </w:tc>
        <w:tc>
          <w:tcPr>
            <w:tcW w:w="100" w:type="dxa"/>
            <w:vAlign w:val="bottom"/>
          </w:tcPr>
          <w:p>
            <w:pPr>
              <w:spacing w:after="0"/>
              <w:rPr>
                <w:sz w:val="19"/>
                <w:szCs w:val="19"/>
                <w:color w:val="auto"/>
              </w:rPr>
            </w:pPr>
          </w:p>
        </w:tc>
        <w:tc>
          <w:tcPr>
            <w:tcW w:w="2000" w:type="dxa"/>
            <w:vAlign w:val="bottom"/>
            <w:gridSpan w:val="3"/>
          </w:tcPr>
          <w:p>
            <w:pPr>
              <w:jc w:val="right"/>
              <w:ind w:right="200"/>
              <w:spacing w:after="0"/>
              <w:rPr>
                <w:sz w:val="20"/>
                <w:szCs w:val="20"/>
                <w:color w:val="auto"/>
              </w:rPr>
            </w:pPr>
            <w:r>
              <w:rPr>
                <w:rFonts w:ascii="Arial" w:cs="Arial" w:eastAsia="Arial" w:hAnsi="Arial"/>
                <w:sz w:val="18"/>
                <w:szCs w:val="18"/>
                <w:color w:val="auto"/>
              </w:rPr>
              <w:t>1,150,000 shares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BDBD1"/>
          </w:tcPr>
          <w:p>
            <w:pPr>
              <w:spacing w:after="0"/>
              <w:rPr>
                <w:sz w:val="19"/>
                <w:szCs w:val="19"/>
                <w:color w:val="auto"/>
              </w:rPr>
            </w:pPr>
          </w:p>
        </w:tc>
        <w:tc>
          <w:tcPr>
            <w:tcW w:w="2140" w:type="dxa"/>
            <w:vAlign w:val="bottom"/>
            <w:gridSpan w:val="4"/>
            <w:shd w:val="clear" w:color="auto" w:fill="CBDBD1"/>
          </w:tcPr>
          <w:p>
            <w:pPr>
              <w:spacing w:after="0" w:line="229" w:lineRule="exact"/>
              <w:rPr>
                <w:sz w:val="20"/>
                <w:szCs w:val="20"/>
                <w:color w:val="auto"/>
              </w:rPr>
            </w:pPr>
            <w:r>
              <w:rPr>
                <w:rFonts w:ascii="Arial" w:cs="Arial" w:eastAsia="Arial" w:hAnsi="Arial"/>
                <w:sz w:val="18"/>
                <w:szCs w:val="18"/>
                <w:color w:val="auto"/>
                <w:w w:val="94"/>
              </w:rPr>
              <w:t>Vicis Capital Master Fund</w:t>
            </w:r>
            <w:r>
              <w:rPr>
                <w:rFonts w:ascii="Arial" w:cs="Arial" w:eastAsia="Arial" w:hAnsi="Arial"/>
                <w:sz w:val="25"/>
                <w:szCs w:val="25"/>
                <w:b w:val="1"/>
                <w:bCs w:val="1"/>
                <w:color w:val="auto"/>
                <w:w w:val="94"/>
                <w:vertAlign w:val="superscript"/>
              </w:rPr>
              <w:t>(8)</w:t>
            </w:r>
          </w:p>
        </w:tc>
        <w:tc>
          <w:tcPr>
            <w:tcW w:w="100" w:type="dxa"/>
            <w:vAlign w:val="bottom"/>
            <w:shd w:val="clear" w:color="auto" w:fill="CBDBD1"/>
          </w:tcPr>
          <w:p>
            <w:pPr>
              <w:spacing w:after="0"/>
              <w:rPr>
                <w:sz w:val="19"/>
                <w:szCs w:val="19"/>
                <w:color w:val="auto"/>
              </w:rPr>
            </w:pPr>
          </w:p>
        </w:tc>
        <w:tc>
          <w:tcPr>
            <w:tcW w:w="2000" w:type="dxa"/>
            <w:vAlign w:val="bottom"/>
            <w:gridSpan w:val="3"/>
            <w:shd w:val="clear" w:color="auto" w:fill="CBDBD1"/>
          </w:tcPr>
          <w:p>
            <w:pPr>
              <w:jc w:val="right"/>
              <w:ind w:right="200"/>
              <w:spacing w:after="0"/>
              <w:rPr>
                <w:sz w:val="20"/>
                <w:szCs w:val="20"/>
                <w:color w:val="auto"/>
              </w:rPr>
            </w:pPr>
            <w:r>
              <w:rPr>
                <w:rFonts w:ascii="Arial" w:cs="Arial" w:eastAsia="Arial" w:hAnsi="Arial"/>
                <w:sz w:val="18"/>
                <w:szCs w:val="18"/>
                <w:color w:val="auto"/>
              </w:rPr>
              <w:t>9,500,000 shares</w:t>
            </w:r>
          </w:p>
        </w:tc>
        <w:tc>
          <w:tcPr>
            <w:tcW w:w="980" w:type="dxa"/>
            <w:vAlign w:val="bottom"/>
            <w:gridSpan w:val="4"/>
            <w:shd w:val="clear" w:color="auto" w:fill="CBDBD1"/>
          </w:tcPr>
          <w:p>
            <w:pPr>
              <w:jc w:val="right"/>
              <w:spacing w:after="0" w:line="229" w:lineRule="exact"/>
              <w:rPr>
                <w:sz w:val="20"/>
                <w:szCs w:val="20"/>
                <w:color w:val="auto"/>
              </w:rPr>
            </w:pPr>
            <w:r>
              <w:rPr>
                <w:rFonts w:ascii="Arial" w:cs="Arial" w:eastAsia="Arial" w:hAnsi="Arial"/>
                <w:sz w:val="18"/>
                <w:szCs w:val="18"/>
                <w:color w:val="auto"/>
              </w:rPr>
              <w:t xml:space="preserve">77.47% </w:t>
            </w:r>
            <w:r>
              <w:rPr>
                <w:rFonts w:ascii="Arial" w:cs="Arial" w:eastAsia="Arial" w:hAnsi="Arial"/>
                <w:sz w:val="25"/>
                <w:szCs w:val="25"/>
                <w:b w:val="1"/>
                <w:bCs w:val="1"/>
                <w:color w:val="auto"/>
                <w:vertAlign w:val="superscript"/>
              </w:rPr>
              <w:t>(9)</w:t>
            </w:r>
          </w:p>
        </w:tc>
        <w:tc>
          <w:tcPr>
            <w:tcW w:w="2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560" w:type="dxa"/>
            <w:vAlign w:val="bottom"/>
          </w:tcPr>
          <w:p>
            <w:pPr>
              <w:spacing w:after="0"/>
              <w:rPr>
                <w:sz w:val="17"/>
                <w:szCs w:val="17"/>
                <w:color w:val="auto"/>
              </w:rPr>
            </w:pPr>
          </w:p>
        </w:tc>
        <w:tc>
          <w:tcPr>
            <w:tcW w:w="2140" w:type="dxa"/>
            <w:vAlign w:val="bottom"/>
            <w:gridSpan w:val="4"/>
          </w:tcPr>
          <w:p>
            <w:pPr>
              <w:spacing w:after="0" w:line="201" w:lineRule="exact"/>
              <w:rPr>
                <w:sz w:val="20"/>
                <w:szCs w:val="20"/>
                <w:color w:val="auto"/>
              </w:rPr>
            </w:pPr>
            <w:r>
              <w:rPr>
                <w:rFonts w:ascii="Arial" w:cs="Arial" w:eastAsia="Arial" w:hAnsi="Arial"/>
                <w:sz w:val="18"/>
                <w:szCs w:val="18"/>
                <w:color w:val="auto"/>
              </w:rPr>
              <w:t>Cypress Trust i/t/f Jillene</w:t>
            </w:r>
          </w:p>
        </w:tc>
        <w:tc>
          <w:tcPr>
            <w:tcW w:w="100" w:type="dxa"/>
            <w:vAlign w:val="bottom"/>
          </w:tcPr>
          <w:p>
            <w:pPr>
              <w:spacing w:after="0"/>
              <w:rPr>
                <w:sz w:val="17"/>
                <w:szCs w:val="17"/>
                <w:color w:val="auto"/>
              </w:rPr>
            </w:pPr>
          </w:p>
        </w:tc>
        <w:tc>
          <w:tcPr>
            <w:tcW w:w="200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1,150,000 shares</w:t>
            </w:r>
          </w:p>
        </w:tc>
        <w:tc>
          <w:tcPr>
            <w:tcW w:w="9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9.38%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40" w:type="dxa"/>
            <w:vAlign w:val="bottom"/>
            <w:gridSpan w:val="4"/>
          </w:tcPr>
          <w:p>
            <w:pPr>
              <w:spacing w:after="0"/>
              <w:rPr>
                <w:sz w:val="20"/>
                <w:szCs w:val="20"/>
                <w:color w:val="auto"/>
              </w:rPr>
            </w:pPr>
            <w:r>
              <w:rPr>
                <w:rFonts w:ascii="Arial" w:cs="Arial" w:eastAsia="Arial" w:hAnsi="Arial"/>
                <w:sz w:val="18"/>
                <w:szCs w:val="18"/>
                <w:color w:val="auto"/>
              </w:rPr>
              <w:t>Pinella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gridSpan w:val="6"/>
            <w:shd w:val="clear" w:color="auto" w:fill="CBDBD1"/>
          </w:tcPr>
          <w:p>
            <w:pPr>
              <w:spacing w:after="0"/>
              <w:rPr>
                <w:sz w:val="20"/>
                <w:szCs w:val="20"/>
                <w:color w:val="auto"/>
              </w:rPr>
            </w:pPr>
            <w:r>
              <w:rPr>
                <w:rFonts w:ascii="Arial" w:cs="Arial" w:eastAsia="Arial" w:hAnsi="Arial"/>
                <w:sz w:val="18"/>
                <w:szCs w:val="18"/>
                <w:b w:val="1"/>
                <w:bCs w:val="1"/>
                <w:color w:val="auto"/>
              </w:rPr>
              <w:t>Total of All 5% Beneficial Owners:</w:t>
            </w:r>
          </w:p>
        </w:tc>
        <w:tc>
          <w:tcPr>
            <w:tcW w:w="100" w:type="dxa"/>
            <w:vAlign w:val="bottom"/>
            <w:shd w:val="clear" w:color="auto" w:fill="CBDBD1"/>
          </w:tcPr>
          <w:p>
            <w:pPr>
              <w:spacing w:after="0"/>
              <w:rPr>
                <w:sz w:val="18"/>
                <w:szCs w:val="18"/>
                <w:color w:val="auto"/>
              </w:rPr>
            </w:pPr>
          </w:p>
        </w:tc>
        <w:tc>
          <w:tcPr>
            <w:tcW w:w="2000" w:type="dxa"/>
            <w:vAlign w:val="bottom"/>
            <w:gridSpan w:val="3"/>
            <w:shd w:val="clear" w:color="auto" w:fill="CBDBD1"/>
          </w:tcPr>
          <w:p>
            <w:pPr>
              <w:jc w:val="right"/>
              <w:ind w:right="200"/>
              <w:spacing w:after="0"/>
              <w:rPr>
                <w:sz w:val="20"/>
                <w:szCs w:val="20"/>
                <w:color w:val="auto"/>
              </w:rPr>
            </w:pPr>
            <w:r>
              <w:rPr>
                <w:rFonts w:ascii="Arial" w:cs="Arial" w:eastAsia="Arial" w:hAnsi="Arial"/>
                <w:sz w:val="18"/>
                <w:szCs w:val="18"/>
                <w:b w:val="1"/>
                <w:bCs w:val="1"/>
                <w:color w:val="auto"/>
              </w:rPr>
              <w:t>13,050,000 shares</w:t>
            </w:r>
          </w:p>
        </w:tc>
        <w:tc>
          <w:tcPr>
            <w:tcW w:w="980" w:type="dxa"/>
            <w:vAlign w:val="bottom"/>
            <w:gridSpan w:val="4"/>
            <w:shd w:val="clear" w:color="auto" w:fill="CBDBD1"/>
          </w:tcPr>
          <w:p>
            <w:pPr>
              <w:jc w:val="right"/>
              <w:spacing w:after="0"/>
              <w:rPr>
                <w:sz w:val="20"/>
                <w:szCs w:val="20"/>
                <w:color w:val="auto"/>
              </w:rPr>
            </w:pPr>
            <w:r>
              <w:rPr>
                <w:rFonts w:ascii="Arial" w:cs="Arial" w:eastAsia="Arial" w:hAnsi="Arial"/>
                <w:sz w:val="18"/>
                <w:szCs w:val="18"/>
                <w:b w:val="1"/>
                <w:bCs w:val="1"/>
                <w:color w:val="auto"/>
              </w:rPr>
              <w:t>60.34%</w:t>
            </w:r>
          </w:p>
        </w:tc>
        <w:tc>
          <w:tcPr>
            <w:tcW w:w="2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340" w:hanging="495"/>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stock option grants made to officers, directors, employees and/or consultants under the 2008 Company Stock Option Plan. All options listed in this table were granted under the 2008 Stock Option Plan.</w:t>
      </w:r>
    </w:p>
    <w:p>
      <w:pPr>
        <w:spacing w:after="0" w:line="1" w:lineRule="exact"/>
        <w:rPr>
          <w:rFonts w:ascii="Arial" w:cs="Arial" w:eastAsia="Arial" w:hAnsi="Arial"/>
          <w:sz w:val="18"/>
          <w:szCs w:val="18"/>
          <w:color w:val="auto"/>
        </w:rPr>
      </w:pPr>
    </w:p>
    <w:p>
      <w:pPr>
        <w:ind w:left="720" w:hanging="49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percentage ownership is based on 12,262,958 shares of common stock outstanding as of December 31, 2008, together with securities exercisable or convertible into shares of common stock within 60 days of December 31, 2008 for each stockholder. Shares of common stock that are currently exercisable or exercisable within 60 days of January 30, 2009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 w:lineRule="exact"/>
        <w:rPr>
          <w:rFonts w:ascii="Arial" w:cs="Arial" w:eastAsia="Arial" w:hAnsi="Arial"/>
          <w:sz w:val="18"/>
          <w:szCs w:val="18"/>
          <w:color w:val="auto"/>
        </w:rPr>
      </w:pPr>
    </w:p>
    <w:p>
      <w:pPr>
        <w:ind w:left="720" w:hanging="49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$1.00 per share.</w:t>
      </w:r>
    </w:p>
    <w:p>
      <w:pPr>
        <w:spacing w:after="0" w:line="9" w:lineRule="exact"/>
        <w:rPr>
          <w:rFonts w:ascii="Arial" w:cs="Arial" w:eastAsia="Arial" w:hAnsi="Arial"/>
          <w:sz w:val="18"/>
          <w:szCs w:val="18"/>
          <w:color w:val="auto"/>
        </w:rPr>
      </w:pPr>
    </w:p>
    <w:p>
      <w:pPr>
        <w:ind w:left="720" w:hanging="49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at a price of $1.00 per share.</w:t>
      </w:r>
    </w:p>
    <w:p>
      <w:pPr>
        <w:spacing w:after="0" w:line="9" w:lineRule="exact"/>
        <w:rPr>
          <w:rFonts w:ascii="Arial" w:cs="Arial" w:eastAsia="Arial" w:hAnsi="Arial"/>
          <w:sz w:val="18"/>
          <w:szCs w:val="18"/>
          <w:color w:val="auto"/>
        </w:rPr>
      </w:pPr>
    </w:p>
    <w:p>
      <w:pPr>
        <w:ind w:left="720" w:hanging="49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$1.00 per share.</w:t>
      </w:r>
    </w:p>
    <w:p>
      <w:pPr>
        <w:spacing w:after="0" w:line="9" w:lineRule="exact"/>
        <w:rPr>
          <w:rFonts w:ascii="Arial" w:cs="Arial" w:eastAsia="Arial" w:hAnsi="Arial"/>
          <w:sz w:val="18"/>
          <w:szCs w:val="18"/>
          <w:color w:val="auto"/>
        </w:rPr>
      </w:pPr>
    </w:p>
    <w:p>
      <w:pPr>
        <w:ind w:left="720" w:right="420" w:hanging="49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Richard J. Kraniak has voting and dispositive control over the shares held by Richard J. Kraniak Roth IRA, which is located at 101 West Long Lake, Bloomfield Hills, Michigan 48304.</w:t>
      </w:r>
    </w:p>
    <w:p>
      <w:pPr>
        <w:ind w:left="720" w:right="280" w:hanging="49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720" w:right="140" w:hanging="49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1" w:lineRule="exact"/>
        <w:rPr>
          <w:rFonts w:ascii="Arial" w:cs="Arial" w:eastAsia="Arial" w:hAnsi="Arial"/>
          <w:sz w:val="18"/>
          <w:szCs w:val="18"/>
          <w:color w:val="auto"/>
        </w:rPr>
      </w:pPr>
    </w:p>
    <w:p>
      <w:pPr>
        <w:ind w:left="720" w:right="20" w:hanging="495"/>
        <w:spacing w:after="0" w:line="26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Percentage of outstanding shares assumes full conversion and/or exercise of the Series A Preferred Stock and Series A Warrants, respectively. The selling stockholders purchased the securities which are convertible into common shares.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ectPr>
          <w:pgSz w:w="11900" w:h="16838" w:orient="portrait"/>
          <w:cols w:equalWidth="0" w:num="1">
            <w:col w:w="11400"/>
          </w:cols>
          <w:pgMar w:left="240" w:top="121"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2008 or in any presently proposed transaction which, in either case, has or will materially affect us.</w:t>
      </w:r>
    </w:p>
    <w:p>
      <w:pPr>
        <w:spacing w:after="0" w:line="181" w:lineRule="exact"/>
        <w:rPr>
          <w:sz w:val="20"/>
          <w:szCs w:val="20"/>
          <w:color w:val="auto"/>
        </w:rPr>
      </w:pPr>
    </w:p>
    <w:p>
      <w:pPr>
        <w:jc w:val="both"/>
        <w:ind w:left="660" w:hanging="184"/>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had personal loans from private investors to Richard Krankiak and Jillene Pinella, each consisting of $160,000. Both Mr. Krankiak and Ms. Pinella are shareholders each holding in excess of 5% of the issued and outstanding common stock of our company. No interest accrued on either loan. We paid each loan in full with proceeds from the September 8, 2008 private placement we conducted with Vicis Capital Master Fund.</w:t>
      </w:r>
    </w:p>
    <w:p>
      <w:pPr>
        <w:spacing w:after="0" w:line="173" w:lineRule="exact"/>
        <w:rPr>
          <w:rFonts w:ascii="Arial" w:cs="Arial" w:eastAsia="Arial" w:hAnsi="Arial"/>
          <w:sz w:val="16"/>
          <w:szCs w:val="16"/>
          <w:color w:val="auto"/>
        </w:rPr>
      </w:pPr>
    </w:p>
    <w:p>
      <w:pPr>
        <w:ind w:left="660" w:hanging="18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engaged David Harrell for management services under a contract that paid him $48,000 for the period ended April 30, 2008 and $114,500 for the year ended December 31, 2008. Mr. Harrell became an employee of our company beginning on June 1, 2008.</w:t>
      </w:r>
    </w:p>
    <w:p>
      <w:pPr>
        <w:spacing w:after="0" w:line="197" w:lineRule="exact"/>
        <w:rPr>
          <w:rFonts w:ascii="Arial" w:cs="Arial" w:eastAsia="Arial" w:hAnsi="Arial"/>
          <w:sz w:val="18"/>
          <w:szCs w:val="18"/>
          <w:color w:val="auto"/>
        </w:rPr>
      </w:pPr>
    </w:p>
    <w:p>
      <w:pPr>
        <w:jc w:val="both"/>
        <w:ind w:left="660" w:hanging="184"/>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transfer of the assets and liabilities from the Optimizer Systems, LLC to OptimizeRx Corporation, the LLC members were issued promissory notes totaling $253,750 under a dilution agreement for a portion of their interests in Optimizer Systems, LLC, except for David Harrell, our director. Under the exchange agreement, dated April 8, 2008, Mr. Harrell is entitled to the same benefits other LLC members received, only against our company in exchange for waiving his anti-dilution rights.</w:t>
      </w:r>
    </w:p>
    <w:p>
      <w:pPr>
        <w:spacing w:after="0" w:line="213" w:lineRule="exact"/>
        <w:rPr>
          <w:rFonts w:ascii="Arial" w:cs="Arial" w:eastAsia="Arial" w:hAnsi="Arial"/>
          <w:sz w:val="18"/>
          <w:szCs w:val="18"/>
          <w:color w:val="auto"/>
        </w:rPr>
      </w:pPr>
    </w:p>
    <w:p>
      <w:pPr>
        <w:ind w:left="660" w:hanging="18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was a note to David Harrell for $4,000 and $24,000 at December 31, 2008 and 2007,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Financial</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Audit Services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Audit Related</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Tax Fees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Other Fees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2"/>
              </w:rPr>
              <w:t>Statements for the</w:t>
            </w:r>
          </w:p>
        </w:tc>
        <w:tc>
          <w:tcPr>
            <w:tcW w:w="1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Fees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Year Ended</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2008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$16,475</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$0</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2007</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$11,927</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$0</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spacing w:after="0"/>
        <w:tabs>
          <w:tab w:leader="none" w:pos="440" w:val="left"/>
        </w:tabs>
        <w:rPr>
          <w:rFonts w:ascii="Arial" w:cs="Arial" w:eastAsia="Arial" w:hAnsi="Arial"/>
          <w:sz w:val="16"/>
          <w:szCs w:val="16"/>
          <w:u w:val="single" w:color="auto"/>
          <w:color w:val="0000EE"/>
        </w:rPr>
      </w:pPr>
      <w:hyperlink w:anchor="page29">
        <w:r>
          <w:rPr>
            <w:rFonts w:ascii="Arial" w:cs="Arial" w:eastAsia="Arial" w:hAnsi="Arial"/>
            <w:sz w:val="18"/>
            <w:szCs w:val="18"/>
            <w:u w:val="single" w:color="auto"/>
            <w:color w:val="0000EE"/>
          </w:rPr>
          <w:t>F-1</w:t>
        </w:r>
      </w:hyperlink>
      <w:r>
        <w:rPr>
          <w:rFonts w:ascii="Arial" w:cs="Arial" w:eastAsia="Arial" w:hAnsi="Arial"/>
          <w:sz w:val="18"/>
          <w:szCs w:val="18"/>
          <w:u w:val="single" w:color="auto"/>
          <w:color w:val="0000EE"/>
        </w:rPr>
        <w:tab/>
      </w:r>
      <w:hyperlink w:anchor="page29">
        <w:r>
          <w:rPr>
            <w:rFonts w:ascii="Arial" w:cs="Arial" w:eastAsia="Arial" w:hAnsi="Arial"/>
            <w:sz w:val="16"/>
            <w:szCs w:val="16"/>
            <w:u w:val="single" w:color="auto"/>
            <w:color w:val="0000EE"/>
          </w:rPr>
          <w:t>Report of Independent Registered Public Accounting Firm</w:t>
        </w:r>
      </w:hyperlink>
    </w:p>
    <w:p>
      <w:pPr>
        <w:spacing w:after="0" w:line="9" w:lineRule="exact"/>
        <w:rPr>
          <w:sz w:val="20"/>
          <w:szCs w:val="20"/>
          <w:color w:val="auto"/>
        </w:rPr>
      </w:pPr>
    </w:p>
    <w:p>
      <w:pPr>
        <w:spacing w:after="0"/>
        <w:tabs>
          <w:tab w:leader="none" w:pos="44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F-2</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Consolidated Balance Sheets as of December 31, 2008 and 2007;</w:t>
        </w:r>
      </w:hyperlink>
    </w:p>
    <w:p>
      <w:pPr>
        <w:spacing w:after="0" w:line="9" w:lineRule="exact"/>
        <w:rPr>
          <w:sz w:val="20"/>
          <w:szCs w:val="20"/>
          <w:color w:val="auto"/>
        </w:rPr>
      </w:pPr>
    </w:p>
    <w:p>
      <w:pPr>
        <w:spacing w:after="0"/>
        <w:tabs>
          <w:tab w:leader="none" w:pos="44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F-3</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Consolidated Statements of Operations for the years ended December 31, 2008 and 2007, and the periods from inception to December 31, 2008;</w:t>
        </w:r>
      </w:hyperlink>
    </w:p>
    <w:p>
      <w:pPr>
        <w:spacing w:after="0" w:line="9" w:lineRule="exact"/>
        <w:rPr>
          <w:sz w:val="20"/>
          <w:szCs w:val="20"/>
          <w:color w:val="auto"/>
        </w:rPr>
      </w:pPr>
    </w:p>
    <w:p>
      <w:pPr>
        <w:spacing w:after="0"/>
        <w:tabs>
          <w:tab w:leader="none" w:pos="44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F-4</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Consolidated Statement of Stockholders’ Equity for period from inception to December 31, 2008;</w:t>
        </w:r>
      </w:hyperlink>
    </w:p>
    <w:p>
      <w:pPr>
        <w:spacing w:after="0" w:line="9" w:lineRule="exact"/>
        <w:rPr>
          <w:sz w:val="20"/>
          <w:szCs w:val="20"/>
          <w:color w:val="auto"/>
        </w:rPr>
      </w:pPr>
    </w:p>
    <w:p>
      <w:pPr>
        <w:ind w:right="560"/>
        <w:spacing w:after="0" w:line="261"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F-5 Consolidated Statements of Cash Flows for the year ended December 31, 2008 and 2007, and the periods from inception to December 31, 2008;</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F-6 Notes to Consolidated Financial Statements</w:t>
        </w:r>
      </w:hyperlink>
    </w:p>
    <w:p>
      <w:pPr>
        <w:sectPr>
          <w:pgSz w:w="11900" w:h="16838" w:orient="portrait"/>
          <w:cols w:equalWidth="0" w:num="1">
            <w:col w:w="11400"/>
          </w:cols>
          <w:pgMar w:left="240" w:top="121" w:right="259" w:bottom="1440" w:gutter="0" w:footer="0" w:header="0"/>
        </w:sectPr>
      </w:pP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u w:val="single" w:color="auto"/>
          <w:color w:val="auto"/>
        </w:rPr>
        <w:t xml:space="preserve">Exhibit Number </w:t>
      </w:r>
      <w:r>
        <w:rPr>
          <w:rFonts w:ascii="Arial" w:cs="Arial" w:eastAsia="Arial" w:hAnsi="Arial"/>
          <w:sz w:val="16"/>
          <w:szCs w:val="16"/>
          <w:color w:val="auto"/>
        </w:rPr>
        <w:t>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2" w:lineRule="auto"/>
        <w:rPr>
          <w:sz w:val="20"/>
          <w:szCs w:val="20"/>
          <w:color w:val="auto"/>
        </w:rPr>
      </w:pPr>
      <w:r>
        <w:rPr>
          <w:rFonts w:ascii="Arial" w:cs="Arial" w:eastAsia="Arial" w:hAnsi="Arial"/>
          <w:sz w:val="17"/>
          <w:szCs w:val="17"/>
          <w:color w:val="auto"/>
        </w:rPr>
        <w:t>Amended and Restated Bylaws of the Company</w:t>
      </w:r>
      <w:r>
        <w:rPr>
          <w:rFonts w:ascii="Arial" w:cs="Arial" w:eastAsia="Arial" w:hAnsi="Arial"/>
          <w:sz w:val="24"/>
          <w:szCs w:val="24"/>
          <w:color w:val="auto"/>
          <w:vertAlign w:val="superscript"/>
        </w:rPr>
        <w:t>1</w:t>
      </w:r>
      <w:r>
        <w:rPr>
          <w:rFonts w:ascii="Arial" w:cs="Arial" w:eastAsia="Arial" w:hAnsi="Arial"/>
          <w:sz w:val="17"/>
          <w:szCs w:val="17"/>
          <w:color w:val="auto"/>
        </w:rPr>
        <w:t>.</w:t>
      </w:r>
    </w:p>
    <w:p>
      <w:pPr>
        <w:spacing w:after="0" w:line="197"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13" w:lineRule="auto"/>
        <w:rPr>
          <w:sz w:val="20"/>
          <w:szCs w:val="20"/>
          <w:color w:val="auto"/>
        </w:rPr>
      </w:pPr>
      <w:r>
        <w:rPr>
          <w:rFonts w:ascii="Arial" w:cs="Arial" w:eastAsia="Arial" w:hAnsi="Arial"/>
          <w:sz w:val="18"/>
          <w:szCs w:val="18"/>
          <w:color w:val="auto"/>
        </w:rPr>
        <w:t>Agreement Concerning the Exchange of Securities, dated on April 14, 2008 by and among RFID, Ltd., OptimizeRx Corporation and the Security Holders of OptimizeRx Corporation</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08" w:lineRule="auto"/>
        <w:rPr>
          <w:sz w:val="20"/>
          <w:szCs w:val="20"/>
          <w:color w:val="auto"/>
        </w:rPr>
      </w:pPr>
      <w:r>
        <w:rPr>
          <w:rFonts w:ascii="Arial" w:cs="Arial" w:eastAsia="Arial" w:hAnsi="Arial"/>
          <w:sz w:val="18"/>
          <w:szCs w:val="18"/>
          <w:color w:val="auto"/>
        </w:rPr>
        <w:t>Securities Purchase Agreement, dated September 8, 2008, by and between the Company and Vicis Capital Master Fund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3" w:lineRule="auto"/>
        <w:rPr>
          <w:sz w:val="20"/>
          <w:szCs w:val="20"/>
          <w:color w:val="auto"/>
        </w:rPr>
      </w:pPr>
      <w:r>
        <w:rPr>
          <w:rFonts w:ascii="Arial" w:cs="Arial" w:eastAsia="Arial" w:hAnsi="Arial"/>
          <w:sz w:val="17"/>
          <w:szCs w:val="17"/>
          <w:color w:val="auto"/>
        </w:rPr>
        <w:t>Form of Series A Warrant</w:t>
      </w:r>
      <w:r>
        <w:rPr>
          <w:rFonts w:ascii="Arial" w:cs="Arial" w:eastAsia="Arial" w:hAnsi="Arial"/>
          <w:sz w:val="24"/>
          <w:szCs w:val="24"/>
          <w:color w:val="auto"/>
          <w:vertAlign w:val="superscript"/>
        </w:rPr>
        <w:t>1</w:t>
      </w:r>
      <w:r>
        <w:rPr>
          <w:rFonts w:ascii="Arial" w:cs="Arial" w:eastAsia="Arial" w:hAnsi="Arial"/>
          <w:sz w:val="17"/>
          <w:szCs w:val="17"/>
          <w:color w:val="auto"/>
        </w:rPr>
        <w:t>.</w:t>
      </w:r>
    </w:p>
    <w:p>
      <w:pPr>
        <w:spacing w:after="0" w:line="208" w:lineRule="auto"/>
        <w:rPr>
          <w:sz w:val="20"/>
          <w:szCs w:val="20"/>
          <w:color w:val="auto"/>
        </w:rPr>
      </w:pPr>
      <w:r>
        <w:rPr>
          <w:rFonts w:ascii="Arial" w:cs="Arial" w:eastAsia="Arial" w:hAnsi="Arial"/>
          <w:sz w:val="18"/>
          <w:szCs w:val="18"/>
          <w:color w:val="auto"/>
        </w:rPr>
        <w:t>Registration Rights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3" w:lineRule="auto"/>
        <w:rPr>
          <w:sz w:val="20"/>
          <w:szCs w:val="20"/>
          <w:color w:val="auto"/>
        </w:rPr>
      </w:pPr>
      <w:r>
        <w:rPr>
          <w:rFonts w:ascii="Arial" w:cs="Arial" w:eastAsia="Arial" w:hAnsi="Arial"/>
          <w:sz w:val="17"/>
          <w:szCs w:val="17"/>
          <w:color w:val="auto"/>
        </w:rPr>
        <w:t>Security Agreement, dated September 8, 2008, by and between the Company and Vicis</w:t>
      </w:r>
      <w:r>
        <w:rPr>
          <w:rFonts w:ascii="Arial" w:cs="Arial" w:eastAsia="Arial" w:hAnsi="Arial"/>
          <w:sz w:val="24"/>
          <w:szCs w:val="24"/>
          <w:color w:val="auto"/>
          <w:vertAlign w:val="superscript"/>
        </w:rPr>
        <w:t>1</w:t>
      </w:r>
      <w:r>
        <w:rPr>
          <w:rFonts w:ascii="Arial" w:cs="Arial" w:eastAsia="Arial" w:hAnsi="Arial"/>
          <w:sz w:val="17"/>
          <w:szCs w:val="17"/>
          <w:color w:val="auto"/>
        </w:rPr>
        <w:t>.</w:t>
      </w:r>
    </w:p>
    <w:p>
      <w:pPr>
        <w:spacing w:after="0" w:line="207" w:lineRule="auto"/>
        <w:rPr>
          <w:sz w:val="20"/>
          <w:szCs w:val="20"/>
          <w:color w:val="auto"/>
        </w:rPr>
      </w:pPr>
      <w:r>
        <w:rPr>
          <w:rFonts w:ascii="Arial" w:cs="Arial" w:eastAsia="Arial" w:hAnsi="Arial"/>
          <w:sz w:val="18"/>
          <w:szCs w:val="18"/>
          <w:color w:val="auto"/>
        </w:rPr>
        <w:t>Guaranty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1" w:lineRule="auto"/>
        <w:rPr>
          <w:sz w:val="20"/>
          <w:szCs w:val="20"/>
          <w:color w:val="auto"/>
        </w:rPr>
      </w:pPr>
      <w:r>
        <w:rPr>
          <w:rFonts w:ascii="Arial" w:cs="Arial" w:eastAsia="Arial" w:hAnsi="Arial"/>
          <w:sz w:val="18"/>
          <w:szCs w:val="18"/>
          <w:color w:val="auto"/>
        </w:rPr>
        <w:t>Guarantor Security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13" w:lineRule="auto"/>
        <w:rPr>
          <w:sz w:val="20"/>
          <w:szCs w:val="20"/>
          <w:color w:val="auto"/>
        </w:rPr>
      </w:pPr>
      <w:r>
        <w:rPr>
          <w:rFonts w:ascii="Arial" w:cs="Arial" w:eastAsia="Arial" w:hAnsi="Arial"/>
          <w:sz w:val="18"/>
          <w:szCs w:val="18"/>
          <w:color w:val="auto"/>
        </w:rPr>
        <w:t>Form of Partnership Agreement between the Company and Dendrite International, Inc. d/b/a/ Cegedim Dendrite, as entered into on June 24, 2008</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08" w:lineRule="auto"/>
        <w:rPr>
          <w:sz w:val="20"/>
          <w:szCs w:val="20"/>
          <w:color w:val="auto"/>
        </w:rPr>
      </w:pPr>
      <w:r>
        <w:rPr>
          <w:rFonts w:ascii="Arial" w:cs="Arial" w:eastAsia="Arial" w:hAnsi="Arial"/>
          <w:sz w:val="18"/>
          <w:szCs w:val="18"/>
          <w:color w:val="auto"/>
        </w:rPr>
        <w:t>Letter of Intent between the Company and Sudler &amp; Hennessy, dated September 30, 2008</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1"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5"/>
          <w:szCs w:val="25"/>
          <w:color w:val="auto"/>
          <w:vertAlign w:val="superscript"/>
        </w:rPr>
        <w:t>1</w:t>
      </w:r>
    </w:p>
    <w:p>
      <w:pPr>
        <w:ind w:right="5080"/>
        <w:spacing w:after="0" w:line="249" w:lineRule="auto"/>
        <w:rPr>
          <w:sz w:val="20"/>
          <w:szCs w:val="20"/>
          <w:color w:val="auto"/>
        </w:rPr>
      </w:pPr>
      <w:r>
        <w:rPr>
          <w:rFonts w:ascii="Arial" w:cs="Arial" w:eastAsia="Arial" w:hAnsi="Arial"/>
          <w:sz w:val="18"/>
          <w:szCs w:val="18"/>
          <w:u w:val="single" w:color="auto"/>
          <w:color w:val="0000EE"/>
        </w:rPr>
        <w:t>Consent of Maddox Ungar Silberstein, PLLC CPAs and Business Advisors Section 302 Certification of Principal Executive Officer Section 302 Certification of Principal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Principal Executive Officer</w:t>
      </w:r>
    </w:p>
    <w:p>
      <w:pPr>
        <w:spacing w:after="0" w:line="200" w:lineRule="exact"/>
        <w:rPr>
          <w:sz w:val="20"/>
          <w:szCs w:val="20"/>
          <w:color w:val="auto"/>
        </w:rPr>
      </w:pPr>
    </w:p>
    <w:p>
      <w:pPr>
        <w:sectPr>
          <w:pgSz w:w="11900" w:h="16838" w:orient="portrait"/>
          <w:cols w:equalWidth="0" w:num="2">
            <w:col w:w="640" w:space="280"/>
            <w:col w:w="10480"/>
          </w:cols>
          <w:pgMar w:left="240" w:top="121" w:right="25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Incorporated by reference to the Form S-1, filed by the Company with the Securities and Exchange Commission on November 12, 2008.</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OptimizeRx Corporation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Principal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Accounting Officer and Director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15, 2009</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20" w:type="dxa"/>
            <w:vAlign w:val="bottom"/>
            <w:gridSpan w:val="3"/>
          </w:tcPr>
          <w:p>
            <w:pPr>
              <w:spacing w:after="0"/>
              <w:rPr>
                <w:sz w:val="20"/>
                <w:szCs w:val="20"/>
                <w:color w:val="auto"/>
              </w:rPr>
            </w:pPr>
            <w:r>
              <w:rPr>
                <w:rFonts w:ascii="Arial" w:cs="Arial" w:eastAsia="Arial" w:hAnsi="Arial"/>
                <w:sz w:val="18"/>
                <w:szCs w:val="18"/>
                <w:color w:val="auto"/>
              </w:rPr>
              <w:t>/s/ David Harrell</w:t>
            </w:r>
          </w:p>
        </w:tc>
        <w:tc>
          <w:tcPr>
            <w:tcW w:w="660" w:type="dxa"/>
            <w:vAlign w:val="bottom"/>
          </w:tcPr>
          <w:p>
            <w:pPr>
              <w:ind w:left="240"/>
              <w:spacing w:after="0"/>
              <w:rPr>
                <w:sz w:val="20"/>
                <w:szCs w:val="20"/>
                <w:color w:val="auto"/>
              </w:rPr>
            </w:pPr>
            <w:r>
              <w:rPr>
                <w:rFonts w:ascii="Arial" w:cs="Arial" w:eastAsia="Arial" w:hAnsi="Arial"/>
                <w:sz w:val="18"/>
                <w:szCs w:val="18"/>
                <w:color w:val="auto"/>
              </w:rPr>
              <w:t>By:</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w w:val="89"/>
              </w:rPr>
              <w:t>/s/ Terence J. Hamilton</w:t>
            </w:r>
          </w:p>
        </w:tc>
      </w:tr>
      <w:tr>
        <w:trPr>
          <w:trHeight w:val="222"/>
        </w:trPr>
        <w:tc>
          <w:tcPr>
            <w:tcW w:w="58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92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Terence J. Hamilton</w:t>
            </w:r>
          </w:p>
        </w:tc>
      </w:tr>
      <w:tr>
        <w:trPr>
          <w:trHeight w:val="216"/>
        </w:trPr>
        <w:tc>
          <w:tcPr>
            <w:tcW w:w="58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April 15, 2009</w:t>
            </w:r>
          </w:p>
        </w:tc>
        <w:tc>
          <w:tcPr>
            <w:tcW w:w="6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April 15, 2009</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Thomas E. Majerowicz</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Thomas E. Majerowicz</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April 15, 2009</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Maddox Ungar Silberstein, PLLC CPAs and Business Advisors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www.maddoxungar.com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2008 and 2007, and the related consolidated statements of operations, stockholders’ equity (deficit), and cash flows for the years then ended and the period from January 31, 2006 (inception) to December 31, 2008. These financial statements are the responsibility of the Companies management. Our responsibility is to express an opinion on these financial statements based on our audits.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OptimizeRx Corporation, as of December 31, 2008 and 2007 and the results of their operations and cash flows for the years then ended and for the period from January 31, 2006 (inception) to December 31, 2008,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2009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6340" w:type="dxa"/>
            <w:vAlign w:val="bottom"/>
            <w:gridSpan w:val="4"/>
          </w:tcPr>
          <w:p>
            <w:pPr>
              <w:jc w:val="center"/>
              <w:ind w:left="2950"/>
              <w:spacing w:after="0" w:line="191" w:lineRule="exact"/>
              <w:rPr>
                <w:sz w:val="20"/>
                <w:szCs w:val="20"/>
                <w:color w:val="auto"/>
              </w:rPr>
            </w:pPr>
            <w:r>
              <w:rPr>
                <w:rFonts w:ascii="Arial" w:cs="Arial" w:eastAsia="Arial" w:hAnsi="Arial"/>
                <w:sz w:val="18"/>
                <w:szCs w:val="18"/>
                <w:b w:val="1"/>
                <w:bCs w:val="1"/>
                <w:color w:val="auto"/>
              </w:rPr>
              <w:t>OPTIMIZERx CORPORATION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gridSpan w:val="4"/>
          </w:tcPr>
          <w:p>
            <w:pPr>
              <w:jc w:val="center"/>
              <w:ind w:left="2950"/>
              <w:spacing w:after="0"/>
              <w:rPr>
                <w:sz w:val="20"/>
                <w:szCs w:val="20"/>
                <w:color w:val="auto"/>
              </w:rPr>
            </w:pPr>
            <w:r>
              <w:rPr>
                <w:rFonts w:ascii="Arial" w:cs="Arial" w:eastAsia="Arial" w:hAnsi="Arial"/>
                <w:sz w:val="18"/>
                <w:szCs w:val="18"/>
                <w:b w:val="1"/>
                <w:bCs w:val="1"/>
                <w:color w:val="auto"/>
                <w:w w:val="99"/>
              </w:rPr>
              <w:t>(A DEVELOPMENT STAGE COMPANY)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5"/>
              </w:rPr>
              <w:t>AS OF DECEMBER 31, 2008 AND 2007</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BDBD1"/>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135,429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Account receivable – employee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BDBD1"/>
            </w:tcBorders>
            <w:gridSpan w:val="2"/>
            <w:shd w:val="clear" w:color="auto" w:fill="CBDBD1"/>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shd w:val="clear" w:color="auto" w:fill="CBDBD1"/>
          </w:tcPr>
          <w:p>
            <w:pPr>
              <w:spacing w:after="0"/>
              <w:rPr>
                <w:sz w:val="19"/>
                <w:szCs w:val="19"/>
                <w:color w:val="auto"/>
              </w:rPr>
            </w:pPr>
          </w:p>
        </w:tc>
        <w:tc>
          <w:tcPr>
            <w:tcW w:w="11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BDBD1"/>
            </w:tcBorders>
            <w:shd w:val="clear" w:color="auto" w:fill="CBDBD1"/>
          </w:tcPr>
          <w:p>
            <w:pPr>
              <w:spacing w:after="0"/>
              <w:rPr>
                <w:sz w:val="19"/>
                <w:szCs w:val="19"/>
                <w:color w:val="auto"/>
              </w:rPr>
            </w:pPr>
          </w:p>
        </w:tc>
        <w:tc>
          <w:tcPr>
            <w:tcW w:w="260" w:type="dxa"/>
            <w:vAlign w:val="bottom"/>
            <w:tcBorders>
              <w:bottom w:val="single" w:sz="8" w:color="auto"/>
            </w:tcBorders>
            <w:shd w:val="clear" w:color="auto" w:fill="CBDBD1"/>
          </w:tcPr>
          <w:p>
            <w:pPr>
              <w:spacing w:after="0"/>
              <w:rPr>
                <w:sz w:val="19"/>
                <w:szCs w:val="19"/>
                <w:color w:val="auto"/>
              </w:rPr>
            </w:pPr>
          </w:p>
        </w:tc>
        <w:tc>
          <w:tcPr>
            <w:tcW w:w="9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2,507,294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15,270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Website Development Costs,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120,737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2,643,301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BDBD1"/>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171,864</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BDBD1"/>
          </w:tcPr>
          <w:p>
            <w:pPr>
              <w:ind w:left="3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BDBD1"/>
          </w:tcPr>
          <w:p>
            <w:pPr>
              <w:spacing w:after="0"/>
              <w:rPr>
                <w:sz w:val="18"/>
                <w:szCs w:val="18"/>
                <w:color w:val="auto"/>
              </w:rPr>
            </w:pPr>
          </w:p>
        </w:tc>
        <w:tc>
          <w:tcPr>
            <w:tcW w:w="12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41,933</w:t>
            </w: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Notes payable – related parties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BDBD1"/>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217,797</w:t>
            </w: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339,892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BDBD1"/>
          </w:tcPr>
          <w:p>
            <w:pPr>
              <w:spacing w:after="0"/>
              <w:rPr>
                <w:sz w:val="20"/>
                <w:szCs w:val="20"/>
                <w:color w:val="auto"/>
              </w:rPr>
            </w:pPr>
            <w:r>
              <w:rPr>
                <w:rFonts w:ascii="Arial" w:cs="Arial" w:eastAsia="Arial" w:hAnsi="Arial"/>
                <w:sz w:val="18"/>
                <w:szCs w:val="18"/>
                <w:b w:val="1"/>
                <w:bCs w:val="1"/>
                <w:color w:val="auto"/>
              </w:rPr>
              <w:t>Long - term Debt</w:t>
            </w: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Notes payable – related party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gridSpan w:val="2"/>
            <w:shd w:val="clear" w:color="auto" w:fill="CBDBD1"/>
          </w:tcPr>
          <w:p>
            <w:pPr>
              <w:ind w:left="320"/>
              <w:spacing w:after="0" w:line="201" w:lineRule="exact"/>
              <w:rPr>
                <w:sz w:val="20"/>
                <w:szCs w:val="20"/>
                <w:color w:val="auto"/>
              </w:rPr>
            </w:pPr>
            <w:r>
              <w:rPr>
                <w:rFonts w:ascii="Arial" w:cs="Arial" w:eastAsia="Arial" w:hAnsi="Arial"/>
                <w:sz w:val="18"/>
                <w:szCs w:val="18"/>
                <w:color w:val="auto"/>
                <w:w w:val="88"/>
              </w:rPr>
              <w:t>Common stock, par $.001, 450,000,000 shares authorized, 12,222,958 shares</w:t>
            </w:r>
          </w:p>
        </w:tc>
        <w:tc>
          <w:tcPr>
            <w:tcW w:w="26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260" w:type="dxa"/>
            <w:vAlign w:val="bottom"/>
            <w:shd w:val="clear" w:color="auto" w:fill="CBDBD1"/>
          </w:tcPr>
          <w:p>
            <w:pPr>
              <w:spacing w:after="0"/>
              <w:rPr>
                <w:sz w:val="17"/>
                <w:szCs w:val="17"/>
                <w:color w:val="auto"/>
              </w:rPr>
            </w:pPr>
          </w:p>
        </w:tc>
        <w:tc>
          <w:tcPr>
            <w:tcW w:w="9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shd w:val="clear" w:color="auto" w:fill="CBDBD1"/>
          </w:tcPr>
          <w:p>
            <w:pPr>
              <w:ind w:left="320"/>
              <w:spacing w:after="0"/>
              <w:rPr>
                <w:sz w:val="20"/>
                <w:szCs w:val="20"/>
                <w:color w:val="auto"/>
              </w:rPr>
            </w:pPr>
            <w:r>
              <w:rPr>
                <w:rFonts w:ascii="Arial" w:cs="Arial" w:eastAsia="Arial" w:hAnsi="Arial"/>
                <w:sz w:val="18"/>
                <w:szCs w:val="18"/>
                <w:color w:val="auto"/>
              </w:rPr>
              <w:t>issued and outstanding (10,300,000 – 2007)</w:t>
            </w:r>
          </w:p>
        </w:tc>
        <w:tc>
          <w:tcPr>
            <w:tcW w:w="260" w:type="dxa"/>
            <w:vAlign w:val="bottom"/>
            <w:shd w:val="clear" w:color="auto" w:fill="CBDBD1"/>
          </w:tcPr>
          <w:p>
            <w:pPr>
              <w:spacing w:after="0"/>
              <w:rPr>
                <w:sz w:val="20"/>
                <w:szCs w:val="20"/>
                <w:color w:val="auto"/>
              </w:rPr>
            </w:pPr>
          </w:p>
        </w:tc>
        <w:tc>
          <w:tcPr>
            <w:tcW w:w="12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12,263</w:t>
            </w:r>
          </w:p>
        </w:tc>
        <w:tc>
          <w:tcPr>
            <w:tcW w:w="260" w:type="dxa"/>
            <w:vAlign w:val="bottom"/>
            <w:shd w:val="clear" w:color="auto" w:fill="CBDBD1"/>
          </w:tcPr>
          <w:p>
            <w:pPr>
              <w:spacing w:after="0"/>
              <w:rPr>
                <w:sz w:val="20"/>
                <w:szCs w:val="20"/>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1"/>
              </w:rPr>
              <w:t>Preferred stock, par $.001, 10,000,000 shares authorized, 35 shares issued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and outstanding</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BDBD1"/>
          </w:tcPr>
          <w:p>
            <w:pPr>
              <w:ind w:left="320"/>
              <w:spacing w:after="0"/>
              <w:rPr>
                <w:sz w:val="20"/>
                <w:szCs w:val="20"/>
                <w:color w:val="auto"/>
              </w:rPr>
            </w:pPr>
            <w:r>
              <w:rPr>
                <w:rFonts w:ascii="Arial" w:cs="Arial" w:eastAsia="Arial" w:hAnsi="Arial"/>
                <w:sz w:val="18"/>
                <w:szCs w:val="18"/>
                <w:color w:val="auto"/>
              </w:rPr>
              <w:t>Stock warrants</w:t>
            </w: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16,905,280</w:t>
            </w: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Paid in capital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BDBD1"/>
            </w:tcBorders>
            <w:gridSpan w:val="2"/>
            <w:shd w:val="clear" w:color="auto" w:fill="CBDBD1"/>
          </w:tcPr>
          <w:p>
            <w:pPr>
              <w:ind w:left="320"/>
              <w:spacing w:after="0"/>
              <w:rPr>
                <w:sz w:val="20"/>
                <w:szCs w:val="20"/>
                <w:color w:val="auto"/>
              </w:rPr>
            </w:pPr>
            <w:r>
              <w:rPr>
                <w:rFonts w:ascii="Arial" w:cs="Arial" w:eastAsia="Arial" w:hAnsi="Arial"/>
                <w:sz w:val="18"/>
                <w:szCs w:val="18"/>
                <w:color w:val="auto"/>
              </w:rPr>
              <w:t>Deficit accumulated during the development stage</w:t>
            </w:r>
          </w:p>
        </w:tc>
        <w:tc>
          <w:tcPr>
            <w:tcW w:w="260" w:type="dxa"/>
            <w:vAlign w:val="bottom"/>
            <w:tcBorders>
              <w:bottom w:val="single" w:sz="8" w:color="auto"/>
            </w:tcBorders>
            <w:shd w:val="clear" w:color="auto" w:fill="CBDBD1"/>
          </w:tcPr>
          <w:p>
            <w:pPr>
              <w:spacing w:after="0"/>
              <w:rPr>
                <w:sz w:val="19"/>
                <w:szCs w:val="19"/>
                <w:color w:val="auto"/>
              </w:rPr>
            </w:pPr>
          </w:p>
        </w:tc>
        <w:tc>
          <w:tcPr>
            <w:tcW w:w="11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(14,492,039)</w:t>
            </w:r>
          </w:p>
        </w:tc>
        <w:tc>
          <w:tcPr>
            <w:tcW w:w="100" w:type="dxa"/>
            <w:vAlign w:val="bottom"/>
            <w:tcBorders>
              <w:bottom w:val="single" w:sz="8" w:color="CBDBD1"/>
            </w:tcBorders>
            <w:shd w:val="clear" w:color="auto" w:fill="CBDBD1"/>
          </w:tcPr>
          <w:p>
            <w:pPr>
              <w:spacing w:after="0"/>
              <w:rPr>
                <w:sz w:val="19"/>
                <w:szCs w:val="19"/>
                <w:color w:val="auto"/>
              </w:rPr>
            </w:pPr>
          </w:p>
        </w:tc>
        <w:tc>
          <w:tcPr>
            <w:tcW w:w="260" w:type="dxa"/>
            <w:vAlign w:val="bottom"/>
            <w:tcBorders>
              <w:bottom w:val="single" w:sz="8" w:color="auto"/>
            </w:tcBorders>
            <w:shd w:val="clear" w:color="auto" w:fill="CBDBD1"/>
          </w:tcPr>
          <w:p>
            <w:pPr>
              <w:spacing w:after="0"/>
              <w:rPr>
                <w:sz w:val="19"/>
                <w:szCs w:val="19"/>
                <w:color w:val="auto"/>
              </w:rPr>
            </w:pPr>
          </w:p>
        </w:tc>
        <w:tc>
          <w:tcPr>
            <w:tcW w:w="9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(394,927)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2,425,504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488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2,643,301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2008 AND 2007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FOR THE PERIOD FROM JANUARY 31, 2006 (INCEPTION) TO DECEMBER 31, 2008</w:t>
      </w:r>
    </w:p>
    <w:p>
      <w:pPr>
        <w:spacing w:after="0" w:line="24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GROSS REVENUES</w:t>
            </w:r>
          </w:p>
        </w:tc>
        <w:tc>
          <w:tcPr>
            <w:tcW w:w="1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83,686</w:t>
            </w:r>
          </w:p>
        </w:tc>
        <w:tc>
          <w:tcPr>
            <w:tcW w:w="280" w:type="dxa"/>
            <w:vAlign w:val="bottom"/>
            <w:gridSpan w:val="2"/>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100,318</w:t>
            </w:r>
          </w:p>
        </w:tc>
        <w:tc>
          <w:tcPr>
            <w:tcW w:w="16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184,004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1,591,738</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456,259</w:t>
            </w:r>
          </w:p>
        </w:tc>
        <w:tc>
          <w:tcPr>
            <w:tcW w:w="160" w:type="dxa"/>
            <w:vAlign w:val="bottom"/>
            <w:shd w:val="clear" w:color="auto" w:fill="CBDBD1"/>
          </w:tcPr>
          <w:p>
            <w:pPr>
              <w:spacing w:after="0"/>
              <w:rPr>
                <w:sz w:val="19"/>
                <w:szCs w:val="19"/>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2,232,308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OPERATING LOSS</w:t>
            </w:r>
          </w:p>
        </w:tc>
        <w:tc>
          <w:tcPr>
            <w:tcW w:w="18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(1,508,052)</w:t>
            </w: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(355,941)</w:t>
            </w:r>
          </w:p>
        </w:tc>
        <w:tc>
          <w:tcPr>
            <w:tcW w:w="16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(2,048,304)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(2,740,801)</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(5,525)</w:t>
            </w:r>
          </w:p>
        </w:tc>
        <w:tc>
          <w:tcPr>
            <w:tcW w:w="160" w:type="dxa"/>
            <w:vAlign w:val="bottom"/>
            <w:shd w:val="clear" w:color="auto" w:fill="CBDBD1"/>
          </w:tcPr>
          <w:p>
            <w:pPr>
              <w:spacing w:after="0"/>
              <w:rPr>
                <w:sz w:val="19"/>
                <w:szCs w:val="19"/>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(2,746,326)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 BEFORE INCOME TAXES</w:t>
            </w:r>
          </w:p>
        </w:tc>
        <w:tc>
          <w:tcPr>
            <w:tcW w:w="18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(4,248,853)</w:t>
            </w: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(361,466)</w:t>
            </w:r>
          </w:p>
        </w:tc>
        <w:tc>
          <w:tcPr>
            <w:tcW w:w="16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(4,794,630)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PROVISION FOR INCOME TAXES</w:t>
            </w:r>
          </w:p>
        </w:tc>
        <w:tc>
          <w:tcPr>
            <w:tcW w:w="18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BDBD1"/>
          </w:tcPr>
          <w:p>
            <w:pPr>
              <w:spacing w:after="0"/>
              <w:rPr>
                <w:sz w:val="19"/>
                <w:szCs w:val="19"/>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(4,248,853)</w:t>
            </w:r>
          </w:p>
        </w:tc>
        <w:tc>
          <w:tcPr>
            <w:tcW w:w="280" w:type="dxa"/>
            <w:vAlign w:val="bottom"/>
            <w:gridSpan w:val="2"/>
            <w:shd w:val="clear" w:color="auto" w:fill="CBDBD1"/>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(361,466)</w:t>
            </w:r>
          </w:p>
        </w:tc>
        <w:tc>
          <w:tcPr>
            <w:tcW w:w="16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(4,794,630)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880" w:type="dxa"/>
            <w:vAlign w:val="bottom"/>
            <w:tcBorders>
              <w:right w:val="single" w:sz="8" w:color="CBDBD1"/>
            </w:tcBorders>
            <w:shd w:val="clear" w:color="auto" w:fill="CBDBD1"/>
          </w:tcPr>
          <w:p>
            <w:pPr>
              <w:spacing w:after="0"/>
              <w:rPr>
                <w:sz w:val="17"/>
                <w:szCs w:val="17"/>
                <w:color w:val="auto"/>
              </w:rPr>
            </w:pPr>
          </w:p>
        </w:tc>
        <w:tc>
          <w:tcPr>
            <w:tcW w:w="16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4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BDBD1"/>
          </w:tcPr>
          <w:p>
            <w:pPr>
              <w:spacing w:after="0"/>
              <w:rPr>
                <w:sz w:val="22"/>
                <w:szCs w:val="22"/>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12,014,772</w:t>
            </w:r>
          </w:p>
        </w:tc>
        <w:tc>
          <w:tcPr>
            <w:tcW w:w="80" w:type="dxa"/>
            <w:vAlign w:val="bottom"/>
            <w:shd w:val="clear" w:color="auto" w:fill="CBDBD1"/>
          </w:tcPr>
          <w:p>
            <w:pPr>
              <w:spacing w:after="0"/>
              <w:rPr>
                <w:sz w:val="22"/>
                <w:szCs w:val="22"/>
                <w:color w:val="auto"/>
              </w:rPr>
            </w:pPr>
          </w:p>
        </w:tc>
        <w:tc>
          <w:tcPr>
            <w:tcW w:w="200" w:type="dxa"/>
            <w:vAlign w:val="bottom"/>
            <w:shd w:val="clear" w:color="auto" w:fill="CBDBD1"/>
          </w:tcPr>
          <w:p>
            <w:pPr>
              <w:spacing w:after="0"/>
              <w:rPr>
                <w:sz w:val="22"/>
                <w:szCs w:val="22"/>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7"/>
              </w:rPr>
              <w:t>2,071,233</w:t>
            </w:r>
          </w:p>
        </w:tc>
        <w:tc>
          <w:tcPr>
            <w:tcW w:w="160" w:type="dxa"/>
            <w:vAlign w:val="bottom"/>
            <w:shd w:val="clear" w:color="auto" w:fill="CBDBD1"/>
          </w:tcPr>
          <w:p>
            <w:pPr>
              <w:spacing w:after="0"/>
              <w:rPr>
                <w:sz w:val="22"/>
                <w:szCs w:val="22"/>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2008</w:t>
      </w:r>
    </w:p>
    <w:p>
      <w:pPr>
        <w:spacing w:after="0" w:line="234"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Deficit</w:t>
      </w:r>
    </w:p>
    <w:p>
      <w:pPr>
        <w:spacing w:after="0" w:line="22"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Additional</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During the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20" w:type="dxa"/>
            <w:vAlign w:val="bottom"/>
          </w:tcPr>
          <w:p>
            <w:pPr>
              <w:spacing w:after="0"/>
              <w:rPr>
                <w:sz w:val="20"/>
                <w:szCs w:val="20"/>
                <w:color w:val="auto"/>
              </w:rPr>
            </w:pPr>
          </w:p>
        </w:tc>
        <w:tc>
          <w:tcPr>
            <w:tcW w:w="1680" w:type="dxa"/>
            <w:vAlign w:val="bottom"/>
            <w:gridSpan w:val="5"/>
          </w:tcPr>
          <w:p>
            <w:pPr>
              <w:ind w:left="200"/>
              <w:spacing w:after="0"/>
              <w:rPr>
                <w:sz w:val="20"/>
                <w:szCs w:val="20"/>
                <w:color w:val="auto"/>
              </w:rPr>
            </w:pPr>
            <w:r>
              <w:rPr>
                <w:rFonts w:ascii="Arial" w:cs="Arial" w:eastAsia="Arial" w:hAnsi="Arial"/>
                <w:sz w:val="18"/>
                <w:szCs w:val="18"/>
                <w:b w:val="1"/>
                <w:bCs w:val="1"/>
                <w:color w:val="auto"/>
              </w:rPr>
              <w:t>Common Stock</w:t>
            </w:r>
          </w:p>
        </w:tc>
        <w:tc>
          <w:tcPr>
            <w:tcW w:w="136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Preferred Stock</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in</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9"/>
              </w:rPr>
              <w:t>Warrants</w:t>
            </w:r>
          </w:p>
        </w:tc>
        <w:tc>
          <w:tcPr>
            <w:tcW w:w="1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Stage</w:t>
            </w:r>
          </w:p>
        </w:tc>
        <w:tc>
          <w:tcPr>
            <w:tcW w:w="100" w:type="dxa"/>
            <w:vAlign w:val="bottom"/>
          </w:tcPr>
          <w:p>
            <w:pPr>
              <w:spacing w:after="0"/>
              <w:rPr>
                <w:sz w:val="19"/>
                <w:szCs w:val="19"/>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w w:val="93"/>
              </w:rPr>
              <w:t>Balance, January 1, 2007</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40,289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Member contributions</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18"/>
                <w:szCs w:val="18"/>
                <w:color w:val="auto"/>
              </w:rPr>
            </w:pP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BDBD1"/>
          </w:tcPr>
          <w:p>
            <w:pPr>
              <w:spacing w:after="0"/>
              <w:rPr>
                <w:sz w:val="18"/>
                <w:szCs w:val="18"/>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BDBD1"/>
          </w:tcPr>
          <w:p>
            <w:pPr>
              <w:spacing w:after="0"/>
              <w:rPr>
                <w:sz w:val="18"/>
                <w:szCs w:val="18"/>
                <w:color w:val="auto"/>
              </w:rPr>
            </w:pP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Member distributions</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18"/>
                <w:szCs w:val="18"/>
                <w:color w:val="auto"/>
              </w:rPr>
            </w:pP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BDBD1"/>
          </w:tcPr>
          <w:p>
            <w:pPr>
              <w:spacing w:after="0"/>
              <w:rPr>
                <w:sz w:val="18"/>
                <w:szCs w:val="18"/>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100" w:type="dxa"/>
            <w:vAlign w:val="bottom"/>
            <w:shd w:val="clear" w:color="auto" w:fill="CBDBD1"/>
          </w:tcPr>
          <w:p>
            <w:pPr>
              <w:spacing w:after="0"/>
              <w:rPr>
                <w:sz w:val="18"/>
                <w:szCs w:val="18"/>
                <w:color w:val="auto"/>
              </w:rPr>
            </w:pP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8"/>
              </w:rPr>
              <w:t>(253,750)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6"/>
              </w:rPr>
              <w:t>Common stock issued to</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5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88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LLC members</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95"/>
              </w:rPr>
              <w:t>10,000,000</w:t>
            </w:r>
          </w:p>
        </w:tc>
        <w:tc>
          <w:tcPr>
            <w:tcW w:w="120" w:type="dxa"/>
            <w:vAlign w:val="bottom"/>
            <w:shd w:val="clear" w:color="auto" w:fill="CBDBD1"/>
          </w:tcPr>
          <w:p>
            <w:pPr>
              <w:spacing w:after="0"/>
              <w:rPr>
                <w:sz w:val="20"/>
                <w:szCs w:val="20"/>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90"/>
              </w:rPr>
              <w:t>10,000</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BDBD1"/>
          </w:tcPr>
          <w:p>
            <w:pPr>
              <w:spacing w:after="0"/>
              <w:rPr>
                <w:sz w:val="20"/>
                <w:szCs w:val="20"/>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3"/>
              </w:rPr>
              <w:t>Common stock issued for</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5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88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cash</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BDBD1"/>
          </w:tcPr>
          <w:p>
            <w:pPr>
              <w:spacing w:after="0"/>
              <w:rPr>
                <w:sz w:val="20"/>
                <w:szCs w:val="20"/>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299,700</w:t>
            </w:r>
          </w:p>
        </w:tc>
        <w:tc>
          <w:tcPr>
            <w:tcW w:w="180" w:type="dxa"/>
            <w:vAlign w:val="bottom"/>
            <w:shd w:val="clear" w:color="auto" w:fill="CBDBD1"/>
          </w:tcPr>
          <w:p>
            <w:pPr>
              <w:spacing w:after="0"/>
              <w:rPr>
                <w:sz w:val="20"/>
                <w:szCs w:val="20"/>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loss for the year</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5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88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w w:val="89"/>
              </w:rPr>
              <w:t>ended December 31, 2007</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BDBD1"/>
          </w:tcPr>
          <w:p>
            <w:pPr>
              <w:spacing w:after="0"/>
              <w:rPr>
                <w:sz w:val="20"/>
                <w:szCs w:val="20"/>
                <w:color w:val="auto"/>
              </w:rPr>
            </w:pP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(361,466)</w:t>
            </w:r>
          </w:p>
        </w:tc>
        <w:tc>
          <w:tcPr>
            <w:tcW w:w="100" w:type="dxa"/>
            <w:vAlign w:val="bottom"/>
            <w:shd w:val="clear" w:color="auto" w:fill="CBDBD1"/>
          </w:tcPr>
          <w:p>
            <w:pPr>
              <w:spacing w:after="0"/>
              <w:rPr>
                <w:sz w:val="20"/>
                <w:szCs w:val="20"/>
                <w:color w:val="auto"/>
              </w:rPr>
            </w:pP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8"/>
              </w:rPr>
              <w:t>(361,466)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CBDBD1"/>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Balance, December 31,</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5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tcBorders>
              <w:right w:val="single" w:sz="8" w:color="CBDBD1"/>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88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2007</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95"/>
              </w:rPr>
              <w:t>10,300,000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90"/>
              </w:rPr>
              <w:t>10,300</w:t>
            </w:r>
          </w:p>
        </w:tc>
        <w:tc>
          <w:tcPr>
            <w:tcW w:w="6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289,700</w:t>
            </w:r>
          </w:p>
        </w:tc>
        <w:tc>
          <w:tcPr>
            <w:tcW w:w="18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(394,927)</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(94,927)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BDBD1"/>
            </w:tcBorders>
            <w:shd w:val="clear" w:color="auto" w:fill="CBDBD1"/>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2008 (CONTINUED)</w:t>
      </w:r>
    </w:p>
    <w:p>
      <w:pPr>
        <w:spacing w:after="0" w:line="23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Deficit</w:t>
      </w:r>
    </w:p>
    <w:p>
      <w:pPr>
        <w:spacing w:after="0" w:line="22"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During the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spacing w:after="0"/>
              <w:rPr>
                <w:sz w:val="20"/>
                <w:szCs w:val="20"/>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Common Stock</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Preferred Stock</w:t>
            </w:r>
          </w:p>
        </w:tc>
        <w:tc>
          <w:tcPr>
            <w:tcW w:w="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Paid in</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Development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Amount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Shares</w:t>
            </w: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Amount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19"/>
                <w:szCs w:val="19"/>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Stage</w:t>
            </w:r>
          </w:p>
        </w:tc>
        <w:tc>
          <w:tcPr>
            <w:tcW w:w="10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3"/>
              </w:rPr>
              <w:t>Balance, December</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31, 2007</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5"/>
              </w:rPr>
              <w:t>10,300,000</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85"/>
              </w:rPr>
              <w:t>$ 10,300</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289,700</w:t>
            </w:r>
          </w:p>
        </w:tc>
        <w:tc>
          <w:tcPr>
            <w:tcW w:w="80" w:type="dxa"/>
            <w:vAlign w:val="bottom"/>
            <w:shd w:val="clear" w:color="auto" w:fill="CBDBD1"/>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(394,927)</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89"/>
              </w:rPr>
              <w:t>Issuance of common</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stock for cash</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636,000</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636</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635,364</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636,000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Outstanding</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w w:val="94"/>
              </w:rPr>
              <w:t>common stock prior</w:t>
            </w:r>
          </w:p>
        </w:tc>
        <w:tc>
          <w:tcPr>
            <w:tcW w:w="940" w:type="dxa"/>
            <w:vAlign w:val="bottom"/>
            <w:tcBorders>
              <w:right w:val="single" w:sz="8" w:color="CBDBD1"/>
            </w:tcBorders>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tcBorders>
              <w:right w:val="single" w:sz="8" w:color="CBDBD1"/>
            </w:tcBorders>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400" w:type="dxa"/>
            <w:vAlign w:val="bottom"/>
            <w:tcBorders>
              <w:righ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tcBorders>
              <w:righ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to reverse merger</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1,256,958</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1,257</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Common stock</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w w:val="99"/>
              </w:rPr>
              <w:t>issued for services</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6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BDBD1"/>
          </w:tcPr>
          <w:p>
            <w:pPr>
              <w:spacing w:after="0"/>
              <w:rPr>
                <w:sz w:val="20"/>
                <w:szCs w:val="20"/>
                <w:color w:val="auto"/>
              </w:rPr>
            </w:pP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69,930</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stock</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options</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Preferred stock</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issued for cash</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Preferred stock</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issuance costs</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(515,000)</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Stock warrants</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issued</w:t>
            </w:r>
          </w:p>
        </w:tc>
        <w:tc>
          <w:tcPr>
            <w:tcW w:w="940" w:type="dxa"/>
            <w:vAlign w:val="bottom"/>
            <w:tcBorders>
              <w:right w:val="single" w:sz="8" w:color="CBDBD1"/>
            </w:tcBorders>
            <w:shd w:val="clear" w:color="auto" w:fill="CBDBD1"/>
          </w:tcPr>
          <w:p>
            <w:pPr>
              <w:spacing w:after="0"/>
              <w:rPr>
                <w:sz w:val="20"/>
                <w:szCs w:val="20"/>
                <w:color w:val="auto"/>
              </w:rPr>
            </w:pPr>
          </w:p>
        </w:tc>
        <w:tc>
          <w:tcPr>
            <w:tcW w:w="6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640" w:type="dxa"/>
            <w:vAlign w:val="bottom"/>
            <w:tcBorders>
              <w:right w:val="single" w:sz="8" w:color="CBDBD1"/>
            </w:tcBorders>
            <w:shd w:val="clear" w:color="auto" w:fill="CBDBD1"/>
          </w:tcPr>
          <w:p>
            <w:pPr>
              <w:spacing w:after="0"/>
              <w:rPr>
                <w:sz w:val="20"/>
                <w:szCs w:val="20"/>
                <w:color w:val="auto"/>
              </w:rPr>
            </w:pP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88"/>
              </w:rPr>
              <w:t>14,160,000</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89"/>
              </w:rPr>
              <w:t>(4,311,741)</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9"/>
              </w:rPr>
              <w:t>(9,848,259)</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Stock warrants</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w w:val="99"/>
              </w:rPr>
              <w:t>issued for services</w:t>
            </w:r>
          </w:p>
        </w:tc>
        <w:tc>
          <w:tcPr>
            <w:tcW w:w="940" w:type="dxa"/>
            <w:vAlign w:val="bottom"/>
            <w:tcBorders>
              <w:right w:val="single" w:sz="8" w:color="CBDBD1"/>
            </w:tcBorders>
            <w:shd w:val="clear" w:color="auto" w:fill="CBDBD1"/>
          </w:tcPr>
          <w:p>
            <w:pPr>
              <w:spacing w:after="0"/>
              <w:rPr>
                <w:sz w:val="20"/>
                <w:szCs w:val="20"/>
                <w:color w:val="auto"/>
              </w:rPr>
            </w:pPr>
          </w:p>
        </w:tc>
        <w:tc>
          <w:tcPr>
            <w:tcW w:w="62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640" w:type="dxa"/>
            <w:vAlign w:val="bottom"/>
            <w:tcBorders>
              <w:right w:val="single" w:sz="8" w:color="CBDBD1"/>
            </w:tcBorders>
            <w:shd w:val="clear" w:color="auto" w:fill="CBDBD1"/>
          </w:tcPr>
          <w:p>
            <w:pPr>
              <w:spacing w:after="0"/>
              <w:rPr>
                <w:sz w:val="20"/>
                <w:szCs w:val="20"/>
                <w:color w:val="auto"/>
              </w:rPr>
            </w:pP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2,745,280</w:t>
            </w:r>
          </w:p>
        </w:tc>
        <w:tc>
          <w:tcPr>
            <w:tcW w:w="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2,745,280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1"/>
              </w:rPr>
              <w:t>Net loss for the year</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w w:val="88"/>
              </w:rPr>
              <w:t>ended December 31,</w:t>
            </w:r>
          </w:p>
        </w:tc>
        <w:tc>
          <w:tcPr>
            <w:tcW w:w="940" w:type="dxa"/>
            <w:vAlign w:val="bottom"/>
            <w:tcBorders>
              <w:right w:val="single" w:sz="8" w:color="CBDBD1"/>
            </w:tcBorders>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tcBorders>
              <w:right w:val="single" w:sz="8" w:color="CBDBD1"/>
            </w:tcBorders>
            <w:shd w:val="clear" w:color="auto" w:fill="CBDBD1"/>
          </w:tcPr>
          <w:p>
            <w:pPr>
              <w:spacing w:after="0"/>
              <w:rPr>
                <w:sz w:val="18"/>
                <w:szCs w:val="18"/>
                <w:color w:val="auto"/>
              </w:rPr>
            </w:pPr>
          </w:p>
        </w:tc>
        <w:tc>
          <w:tcPr>
            <w:tcW w:w="320" w:type="dxa"/>
            <w:vAlign w:val="bottom"/>
            <w:shd w:val="clear" w:color="auto" w:fill="CBDBD1"/>
          </w:tcPr>
          <w:p>
            <w:pPr>
              <w:spacing w:after="0"/>
              <w:rPr>
                <w:sz w:val="18"/>
                <w:szCs w:val="18"/>
                <w:color w:val="auto"/>
              </w:rPr>
            </w:pPr>
          </w:p>
        </w:tc>
        <w:tc>
          <w:tcPr>
            <w:tcW w:w="400" w:type="dxa"/>
            <w:vAlign w:val="bottom"/>
            <w:tcBorders>
              <w:righ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tcBorders>
              <w:righ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2008</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DBD1"/>
          </w:tcPr>
          <w:p>
            <w:pPr>
              <w:spacing w:after="0"/>
              <w:rPr>
                <w:sz w:val="20"/>
                <w:szCs w:val="20"/>
                <w:color w:val="auto"/>
              </w:rPr>
            </w:pP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9"/>
              </w:rPr>
              <w:t>(4,248,853)</w:t>
            </w: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9"/>
              </w:rPr>
              <w:t>(4,248,853)</w:t>
            </w:r>
          </w:p>
        </w:tc>
        <w:tc>
          <w:tcPr>
            <w:tcW w:w="0" w:type="dxa"/>
            <w:vAlign w:val="bottom"/>
          </w:tcPr>
          <w:p>
            <w:pPr>
              <w:spacing w:after="0"/>
              <w:rPr>
                <w:sz w:val="1"/>
                <w:szCs w:val="1"/>
                <w:color w:val="auto"/>
              </w:rPr>
            </w:pPr>
          </w:p>
        </w:tc>
      </w:tr>
      <w:tr>
        <w:trPr>
          <w:trHeight w:val="216"/>
        </w:trPr>
        <w:tc>
          <w:tcPr>
            <w:tcW w:w="1500" w:type="dxa"/>
            <w:vAlign w:val="bottom"/>
            <w:tcBorders>
              <w:top w:val="single" w:sz="8" w:color="CBDBD1"/>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3"/>
              </w:rPr>
              <w:t>Balance, December</w:t>
            </w:r>
          </w:p>
        </w:tc>
        <w:tc>
          <w:tcPr>
            <w:tcW w:w="940" w:type="dxa"/>
            <w:vAlign w:val="bottom"/>
            <w:tcBorders>
              <w:right w:val="single" w:sz="8" w:color="CBDBD1"/>
            </w:tcBorders>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tcBorders>
              <w:right w:val="single" w:sz="8" w:color="CBDBD1"/>
            </w:tcBorders>
            <w:shd w:val="clear" w:color="auto" w:fill="CBDBD1"/>
          </w:tcPr>
          <w:p>
            <w:pPr>
              <w:spacing w:after="0"/>
              <w:rPr>
                <w:sz w:val="17"/>
                <w:szCs w:val="17"/>
                <w:color w:val="auto"/>
              </w:rPr>
            </w:pPr>
          </w:p>
        </w:tc>
        <w:tc>
          <w:tcPr>
            <w:tcW w:w="320" w:type="dxa"/>
            <w:vAlign w:val="bottom"/>
            <w:shd w:val="clear" w:color="auto" w:fill="CBDBD1"/>
          </w:tcPr>
          <w:p>
            <w:pPr>
              <w:spacing w:after="0"/>
              <w:rPr>
                <w:sz w:val="17"/>
                <w:szCs w:val="17"/>
                <w:color w:val="auto"/>
              </w:rPr>
            </w:pPr>
          </w:p>
        </w:tc>
        <w:tc>
          <w:tcPr>
            <w:tcW w:w="40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920" w:type="dxa"/>
            <w:vAlign w:val="bottom"/>
            <w:tcBorders>
              <w:righ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00" w:type="dxa"/>
            <w:vAlign w:val="bottom"/>
            <w:shd w:val="clear" w:color="auto" w:fill="CBDBD1"/>
          </w:tcPr>
          <w:p>
            <w:pPr>
              <w:spacing w:after="0"/>
              <w:rPr>
                <w:sz w:val="20"/>
                <w:szCs w:val="20"/>
                <w:color w:val="auto"/>
              </w:rPr>
            </w:pPr>
            <w:r>
              <w:rPr>
                <w:rFonts w:ascii="Arial" w:cs="Arial" w:eastAsia="Arial" w:hAnsi="Arial"/>
                <w:sz w:val="18"/>
                <w:szCs w:val="18"/>
                <w:color w:val="auto"/>
              </w:rPr>
              <w:t>31, 2008</w:t>
            </w:r>
          </w:p>
        </w:tc>
        <w:tc>
          <w:tcPr>
            <w:tcW w:w="9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5"/>
              </w:rPr>
              <w:t>12,262,958</w:t>
            </w:r>
          </w:p>
        </w:tc>
        <w:tc>
          <w:tcPr>
            <w:tcW w:w="7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85"/>
              </w:rPr>
              <w:t>$ 12,263</w:t>
            </w:r>
          </w:p>
        </w:tc>
        <w:tc>
          <w:tcPr>
            <w:tcW w:w="6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BDBD1"/>
          </w:tcPr>
          <w:p>
            <w:pPr>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w w:val="88"/>
              </w:rPr>
              <w:t>16,905,280</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BDBD1"/>
          </w:tcPr>
          <w:p>
            <w:pPr>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w w:val="90"/>
              </w:rPr>
              <w:t>(14,492,039)</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2,425,504</w:t>
            </w:r>
          </w:p>
        </w:tc>
        <w:tc>
          <w:tcPr>
            <w:tcW w:w="0" w:type="dxa"/>
            <w:vAlign w:val="bottom"/>
          </w:tcPr>
          <w:p>
            <w:pPr>
              <w:spacing w:after="0"/>
              <w:rPr>
                <w:sz w:val="1"/>
                <w:szCs w:val="1"/>
                <w:color w:val="auto"/>
              </w:rPr>
            </w:pPr>
          </w:p>
        </w:tc>
      </w:tr>
      <w:tr>
        <w:trPr>
          <w:trHeight w:val="20"/>
        </w:trPr>
        <w:tc>
          <w:tcPr>
            <w:tcW w:w="1500" w:type="dxa"/>
            <w:vAlign w:val="bottom"/>
            <w:tcBorders>
              <w:top w:val="single" w:sz="8" w:color="CBDBD1"/>
            </w:tcBorders>
            <w:shd w:val="clear" w:color="auto" w:fill="CBDBD1"/>
          </w:tcPr>
          <w:p>
            <w:pPr>
              <w:spacing w:after="0" w:line="20" w:lineRule="exact"/>
              <w:rPr>
                <w:sz w:val="1"/>
                <w:szCs w:val="1"/>
                <w:color w:val="auto"/>
              </w:rPr>
            </w:pPr>
          </w:p>
        </w:tc>
        <w:tc>
          <w:tcPr>
            <w:tcW w:w="94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2008 AND 2007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TO DECEMBER 31, 2008</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BDBD1"/>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(4,248,853)</w:t>
            </w:r>
          </w:p>
        </w:tc>
        <w:tc>
          <w:tcPr>
            <w:tcW w:w="320" w:type="dxa"/>
            <w:vAlign w:val="bottom"/>
            <w:tcBorders>
              <w:lef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(361,466)</w:t>
            </w:r>
          </w:p>
        </w:tc>
        <w:tc>
          <w:tcPr>
            <w:tcW w:w="18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(4,794,630)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tcBorders>
              <w:right w:val="single" w:sz="8" w:color="CBDBD1"/>
            </w:tcBorders>
            <w:shd w:val="clear" w:color="auto" w:fill="CBDBD1"/>
          </w:tcPr>
          <w:p>
            <w:pPr>
              <w:spacing w:after="0" w:line="198" w:lineRule="exact"/>
              <w:rPr>
                <w:sz w:val="20"/>
                <w:szCs w:val="20"/>
                <w:color w:val="auto"/>
              </w:rPr>
            </w:pPr>
            <w:r>
              <w:rPr>
                <w:rFonts w:ascii="Arial" w:cs="Arial" w:eastAsia="Arial" w:hAnsi="Arial"/>
                <w:sz w:val="18"/>
                <w:szCs w:val="18"/>
                <w:b w:val="1"/>
                <w:bCs w:val="1"/>
                <w:color w:val="auto"/>
                <w:w w:val="88"/>
              </w:rPr>
              <w:t>Adjustments to Reconcile Net Loss to Net Cash Used in</w:t>
            </w:r>
          </w:p>
        </w:tc>
        <w:tc>
          <w:tcPr>
            <w:tcW w:w="220" w:type="dxa"/>
            <w:vAlign w:val="bottom"/>
            <w:shd w:val="clear" w:color="auto" w:fill="CBDBD1"/>
          </w:tcPr>
          <w:p>
            <w:pPr>
              <w:spacing w:after="0"/>
              <w:rPr>
                <w:sz w:val="17"/>
                <w:szCs w:val="17"/>
                <w:color w:val="auto"/>
              </w:rPr>
            </w:pPr>
          </w:p>
        </w:tc>
        <w:tc>
          <w:tcPr>
            <w:tcW w:w="980" w:type="dxa"/>
            <w:vAlign w:val="bottom"/>
            <w:shd w:val="clear" w:color="auto" w:fill="CBDBD1"/>
          </w:tcPr>
          <w:p>
            <w:pPr>
              <w:spacing w:after="0"/>
              <w:rPr>
                <w:sz w:val="17"/>
                <w:szCs w:val="17"/>
                <w:color w:val="auto"/>
              </w:rPr>
            </w:pPr>
          </w:p>
        </w:tc>
        <w:tc>
          <w:tcPr>
            <w:tcW w:w="100" w:type="dxa"/>
            <w:vAlign w:val="bottom"/>
            <w:tcBorders>
              <w:left w:val="single" w:sz="8" w:color="CBDBD1"/>
            </w:tcBorders>
            <w:shd w:val="clear" w:color="auto" w:fill="CBDBD1"/>
          </w:tcPr>
          <w:p>
            <w:pPr>
              <w:spacing w:after="0"/>
              <w:rPr>
                <w:sz w:val="17"/>
                <w:szCs w:val="17"/>
                <w:color w:val="auto"/>
              </w:rPr>
            </w:pPr>
          </w:p>
        </w:tc>
        <w:tc>
          <w:tcPr>
            <w:tcW w:w="22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100" w:type="dxa"/>
            <w:vAlign w:val="bottom"/>
            <w:tcBorders>
              <w:lef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BDBD1"/>
          </w:tcPr>
          <w:p>
            <w:pPr>
              <w:spacing w:after="0"/>
              <w:rPr>
                <w:sz w:val="20"/>
                <w:szCs w:val="20"/>
                <w:color w:val="auto"/>
              </w:rPr>
            </w:pPr>
          </w:p>
        </w:tc>
        <w:tc>
          <w:tcPr>
            <w:tcW w:w="980" w:type="dxa"/>
            <w:vAlign w:val="bottom"/>
            <w:shd w:val="clear" w:color="auto" w:fill="CBDBD1"/>
          </w:tcPr>
          <w:p>
            <w:pPr>
              <w:spacing w:after="0"/>
              <w:rPr>
                <w:sz w:val="20"/>
                <w:szCs w:val="20"/>
                <w:color w:val="auto"/>
              </w:rPr>
            </w:pPr>
          </w:p>
        </w:tc>
        <w:tc>
          <w:tcPr>
            <w:tcW w:w="100" w:type="dxa"/>
            <w:vAlign w:val="bottom"/>
            <w:tcBorders>
              <w:left w:val="single" w:sz="8" w:color="CBDBD1"/>
            </w:tcBorders>
            <w:shd w:val="clear" w:color="auto" w:fill="CBDBD1"/>
          </w:tcPr>
          <w:p>
            <w:pPr>
              <w:spacing w:after="0"/>
              <w:rPr>
                <w:sz w:val="20"/>
                <w:szCs w:val="20"/>
                <w:color w:val="auto"/>
              </w:rPr>
            </w:pPr>
          </w:p>
        </w:tc>
        <w:tc>
          <w:tcPr>
            <w:tcW w:w="220" w:type="dxa"/>
            <w:vAlign w:val="bottom"/>
            <w:shd w:val="clear" w:color="auto" w:fill="CBDBD1"/>
          </w:tcPr>
          <w:p>
            <w:pPr>
              <w:spacing w:after="0"/>
              <w:rPr>
                <w:sz w:val="20"/>
                <w:szCs w:val="20"/>
                <w:color w:val="auto"/>
              </w:rPr>
            </w:pPr>
          </w:p>
        </w:tc>
        <w:tc>
          <w:tcPr>
            <w:tcW w:w="860" w:type="dxa"/>
            <w:vAlign w:val="bottom"/>
            <w:shd w:val="clear" w:color="auto" w:fill="CBDBD1"/>
          </w:tcPr>
          <w:p>
            <w:pPr>
              <w:spacing w:after="0"/>
              <w:rPr>
                <w:sz w:val="20"/>
                <w:szCs w:val="20"/>
                <w:color w:val="auto"/>
              </w:rPr>
            </w:pPr>
          </w:p>
        </w:tc>
        <w:tc>
          <w:tcPr>
            <w:tcW w:w="100" w:type="dxa"/>
            <w:vAlign w:val="bottom"/>
            <w:tcBorders>
              <w:left w:val="single" w:sz="8" w:color="CBDBD1"/>
            </w:tcBorders>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140" w:type="dxa"/>
            <w:vAlign w:val="bottom"/>
            <w:shd w:val="clear" w:color="auto" w:fill="CBDBD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Stock issued for services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Stock options issued for compensation</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Stock warrants issued for services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2,745,280</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2,745,280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w w:val="87"/>
              </w:rPr>
              <w:t>(Increase) in prepaid expenses and other current assets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Increase in accounts payable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Increase in accrued expenses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23,007</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(303,633)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right w:val="single" w:sz="8" w:color="CBDBD1"/>
            </w:tcBorders>
            <w:shd w:val="clear" w:color="auto" w:fill="CBDBD1"/>
          </w:tcPr>
          <w:p>
            <w:pPr>
              <w:spacing w:after="0"/>
              <w:rPr>
                <w:sz w:val="18"/>
                <w:szCs w:val="18"/>
                <w:color w:val="auto"/>
              </w:rPr>
            </w:pPr>
          </w:p>
        </w:tc>
        <w:tc>
          <w:tcPr>
            <w:tcW w:w="220" w:type="dxa"/>
            <w:vAlign w:val="bottom"/>
            <w:tcBorders>
              <w:top w:val="single" w:sz="8" w:color="auto"/>
            </w:tcBorders>
            <w:shd w:val="clear" w:color="auto" w:fill="CBDBD1"/>
          </w:tcPr>
          <w:p>
            <w:pPr>
              <w:spacing w:after="0"/>
              <w:rPr>
                <w:sz w:val="18"/>
                <w:szCs w:val="18"/>
                <w:color w:val="auto"/>
              </w:rPr>
            </w:pPr>
          </w:p>
        </w:tc>
        <w:tc>
          <w:tcPr>
            <w:tcW w:w="980" w:type="dxa"/>
            <w:vAlign w:val="bottom"/>
            <w:tcBorders>
              <w:top w:val="single" w:sz="8" w:color="auto"/>
            </w:tcBorders>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tcBorders>
              <w:top w:val="single" w:sz="8" w:color="auto"/>
            </w:tcBorders>
            <w:shd w:val="clear" w:color="auto" w:fill="CBDBD1"/>
          </w:tcPr>
          <w:p>
            <w:pPr>
              <w:spacing w:after="0"/>
              <w:rPr>
                <w:sz w:val="18"/>
                <w:szCs w:val="18"/>
                <w:color w:val="auto"/>
              </w:rPr>
            </w:pPr>
          </w:p>
        </w:tc>
        <w:tc>
          <w:tcPr>
            <w:tcW w:w="860" w:type="dxa"/>
            <w:vAlign w:val="bottom"/>
            <w:tcBorders>
              <w:top w:val="single" w:sz="8" w:color="auto"/>
            </w:tcBorders>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tcBorders>
              <w:top w:val="single" w:sz="8" w:color="auto"/>
            </w:tcBorders>
            <w:shd w:val="clear" w:color="auto" w:fill="CBDBD1"/>
          </w:tcPr>
          <w:p>
            <w:pPr>
              <w:spacing w:after="0"/>
              <w:rPr>
                <w:sz w:val="18"/>
                <w:szCs w:val="18"/>
                <w:color w:val="auto"/>
              </w:rPr>
            </w:pPr>
          </w:p>
        </w:tc>
        <w:tc>
          <w:tcPr>
            <w:tcW w:w="114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Website development costs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BDBD1"/>
          </w:tcPr>
          <w:p>
            <w:pPr>
              <w:spacing w:after="0"/>
              <w:rPr>
                <w:sz w:val="19"/>
                <w:szCs w:val="19"/>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Borders>
              <w:left w:val="single" w:sz="8" w:color="CBDBD1"/>
            </w:tcBorders>
            <w:shd w:val="clear" w:color="auto" w:fill="CBDBD1"/>
          </w:tcPr>
          <w:p>
            <w:pPr>
              <w:spacing w:after="0"/>
              <w:rPr>
                <w:sz w:val="19"/>
                <w:szCs w:val="19"/>
                <w:color w:val="auto"/>
              </w:rPr>
            </w:pPr>
          </w:p>
        </w:tc>
        <w:tc>
          <w:tcPr>
            <w:tcW w:w="220" w:type="dxa"/>
            <w:vAlign w:val="bottom"/>
            <w:shd w:val="clear" w:color="auto" w:fill="CBDBD1"/>
          </w:tcPr>
          <w:p>
            <w:pPr>
              <w:spacing w:after="0"/>
              <w:rPr>
                <w:sz w:val="19"/>
                <w:szCs w:val="19"/>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(125,581)</w:t>
            </w:r>
          </w:p>
        </w:tc>
        <w:tc>
          <w:tcPr>
            <w:tcW w:w="10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(171,020)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Proceeds from issuance of notes payable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140"/>
              <w:spacing w:after="0"/>
              <w:rPr>
                <w:sz w:val="20"/>
                <w:szCs w:val="20"/>
                <w:color w:val="auto"/>
              </w:rPr>
            </w:pPr>
            <w:r>
              <w:rPr>
                <w:rFonts w:ascii="Arial" w:cs="Arial" w:eastAsia="Arial" w:hAnsi="Arial"/>
                <w:sz w:val="18"/>
                <w:szCs w:val="18"/>
                <w:color w:val="auto"/>
              </w:rPr>
              <w:t>Repayments of notes payable – related parties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(643,750)</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(643,750)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Member contributions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BDBD1"/>
            </w:tcBorders>
            <w:shd w:val="clear" w:color="auto" w:fill="CBDBD1"/>
          </w:tcPr>
          <w:p>
            <w:pPr>
              <w:ind w:left="140"/>
              <w:spacing w:after="0"/>
              <w:rPr>
                <w:sz w:val="20"/>
                <w:szCs w:val="20"/>
                <w:color w:val="auto"/>
              </w:rPr>
            </w:pPr>
            <w:r>
              <w:rPr>
                <w:rFonts w:ascii="Arial" w:cs="Arial" w:eastAsia="Arial" w:hAnsi="Arial"/>
                <w:sz w:val="18"/>
                <w:szCs w:val="18"/>
                <w:color w:val="auto"/>
              </w:rPr>
              <w:t>Net proceeds from common stock</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636,000</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Net proceeds from preferred stock</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shd w:val="clear" w:color="auto" w:fill="CBDBD1"/>
          </w:tcPr>
          <w:p>
            <w:pPr>
              <w:spacing w:after="0"/>
              <w:rPr>
                <w:sz w:val="19"/>
                <w:szCs w:val="19"/>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3,297,250</w:t>
            </w:r>
          </w:p>
        </w:tc>
        <w:tc>
          <w:tcPr>
            <w:tcW w:w="100" w:type="dxa"/>
            <w:vAlign w:val="bottom"/>
            <w:tcBorders>
              <w:left w:val="single" w:sz="8" w:color="CBDBD1"/>
            </w:tcBorders>
            <w:shd w:val="clear" w:color="auto" w:fill="CBDBD1"/>
          </w:tcPr>
          <w:p>
            <w:pPr>
              <w:spacing w:after="0"/>
              <w:rPr>
                <w:sz w:val="19"/>
                <w:szCs w:val="19"/>
                <w:color w:val="auto"/>
              </w:rPr>
            </w:pPr>
          </w:p>
        </w:tc>
        <w:tc>
          <w:tcPr>
            <w:tcW w:w="220" w:type="dxa"/>
            <w:vAlign w:val="bottom"/>
            <w:shd w:val="clear" w:color="auto" w:fill="CBDBD1"/>
          </w:tcPr>
          <w:p>
            <w:pPr>
              <w:spacing w:after="0"/>
              <w:rPr>
                <w:sz w:val="19"/>
                <w:szCs w:val="19"/>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4,075,850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2,367,227</w:t>
            </w: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120,786</w:t>
            </w: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220" w:type="dxa"/>
            <w:vAlign w:val="bottom"/>
            <w:shd w:val="clear" w:color="auto" w:fill="CBDBD1"/>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320" w:type="dxa"/>
            <w:vAlign w:val="bottom"/>
            <w:tcBorders>
              <w:lef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135,429</w:t>
            </w:r>
          </w:p>
        </w:tc>
        <w:tc>
          <w:tcPr>
            <w:tcW w:w="18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shd w:val="clear" w:color="auto" w:fill="CBDBD1"/>
          </w:tcPr>
          <w:p>
            <w:pPr>
              <w:spacing w:after="0"/>
              <w:rPr>
                <w:sz w:val="18"/>
                <w:szCs w:val="18"/>
                <w:color w:val="auto"/>
              </w:rPr>
            </w:pPr>
          </w:p>
        </w:tc>
        <w:tc>
          <w:tcPr>
            <w:tcW w:w="980" w:type="dxa"/>
            <w:vAlign w:val="bottom"/>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0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BDBD1"/>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lef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Borders>
              <w:top w:val="single" w:sz="8" w:color="CBDBD1"/>
            </w:tcBorders>
          </w:tcPr>
          <w:p>
            <w:pPr>
              <w:spacing w:after="0" w:line="191" w:lineRule="exact"/>
              <w:rPr>
                <w:sz w:val="20"/>
                <w:szCs w:val="20"/>
                <w:color w:val="auto"/>
              </w:rPr>
            </w:pPr>
            <w:r>
              <w:rPr>
                <w:rFonts w:ascii="Arial" w:cs="Arial" w:eastAsia="Arial" w:hAnsi="Arial"/>
                <w:sz w:val="18"/>
                <w:szCs w:val="18"/>
                <w:b w:val="1"/>
                <w:bCs w:val="1"/>
                <w:color w:val="auto"/>
                <w:w w:val="96"/>
              </w:rPr>
              <w:t>Supplemental Disclosure of Noncash Investing and</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BDBD1"/>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BDBD1"/>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Borders>
              <w:right w:val="single" w:sz="8" w:color="CBDBD1"/>
            </w:tcBorders>
            <w:shd w:val="clear" w:color="auto" w:fill="CBDBD1"/>
          </w:tcPr>
          <w:p>
            <w:pPr>
              <w:ind w:left="300"/>
              <w:spacing w:after="0" w:line="201" w:lineRule="exact"/>
              <w:rPr>
                <w:sz w:val="20"/>
                <w:szCs w:val="20"/>
                <w:color w:val="auto"/>
              </w:rPr>
            </w:pPr>
            <w:r>
              <w:rPr>
                <w:rFonts w:ascii="Arial" w:cs="Arial" w:eastAsia="Arial" w:hAnsi="Arial"/>
                <w:sz w:val="18"/>
                <w:szCs w:val="18"/>
                <w:color w:val="auto"/>
                <w:w w:val="92"/>
              </w:rPr>
              <w:t>Distributions paid through issuance of notes payable-</w:t>
            </w:r>
          </w:p>
        </w:tc>
        <w:tc>
          <w:tcPr>
            <w:tcW w:w="220" w:type="dxa"/>
            <w:vAlign w:val="bottom"/>
            <w:shd w:val="clear" w:color="auto" w:fill="CBDBD1"/>
          </w:tcPr>
          <w:p>
            <w:pPr>
              <w:spacing w:after="0"/>
              <w:rPr>
                <w:sz w:val="17"/>
                <w:szCs w:val="17"/>
                <w:color w:val="auto"/>
              </w:rPr>
            </w:pPr>
          </w:p>
        </w:tc>
        <w:tc>
          <w:tcPr>
            <w:tcW w:w="980" w:type="dxa"/>
            <w:vAlign w:val="bottom"/>
            <w:shd w:val="clear" w:color="auto" w:fill="CBDBD1"/>
          </w:tcPr>
          <w:p>
            <w:pPr>
              <w:spacing w:after="0"/>
              <w:rPr>
                <w:sz w:val="17"/>
                <w:szCs w:val="17"/>
                <w:color w:val="auto"/>
              </w:rPr>
            </w:pPr>
          </w:p>
        </w:tc>
        <w:tc>
          <w:tcPr>
            <w:tcW w:w="100" w:type="dxa"/>
            <w:vAlign w:val="bottom"/>
            <w:tcBorders>
              <w:left w:val="single" w:sz="8" w:color="CBDBD1"/>
            </w:tcBorders>
            <w:shd w:val="clear" w:color="auto" w:fill="CBDBD1"/>
          </w:tcPr>
          <w:p>
            <w:pPr>
              <w:spacing w:after="0"/>
              <w:rPr>
                <w:sz w:val="17"/>
                <w:szCs w:val="17"/>
                <w:color w:val="auto"/>
              </w:rPr>
            </w:pPr>
          </w:p>
        </w:tc>
        <w:tc>
          <w:tcPr>
            <w:tcW w:w="220" w:type="dxa"/>
            <w:vAlign w:val="bottom"/>
            <w:shd w:val="clear" w:color="auto" w:fill="CBDBD1"/>
          </w:tcPr>
          <w:p>
            <w:pPr>
              <w:spacing w:after="0"/>
              <w:rPr>
                <w:sz w:val="17"/>
                <w:szCs w:val="17"/>
                <w:color w:val="auto"/>
              </w:rPr>
            </w:pPr>
          </w:p>
        </w:tc>
        <w:tc>
          <w:tcPr>
            <w:tcW w:w="860" w:type="dxa"/>
            <w:vAlign w:val="bottom"/>
            <w:shd w:val="clear" w:color="auto" w:fill="CBDBD1"/>
          </w:tcPr>
          <w:p>
            <w:pPr>
              <w:spacing w:after="0"/>
              <w:rPr>
                <w:sz w:val="17"/>
                <w:szCs w:val="17"/>
                <w:color w:val="auto"/>
              </w:rPr>
            </w:pPr>
          </w:p>
        </w:tc>
        <w:tc>
          <w:tcPr>
            <w:tcW w:w="100" w:type="dxa"/>
            <w:vAlign w:val="bottom"/>
            <w:tcBorders>
              <w:lef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60" w:type="dxa"/>
            <w:vAlign w:val="bottom"/>
            <w:tcBorders>
              <w:right w:val="single" w:sz="8" w:color="CBDBD1"/>
            </w:tcBorders>
            <w:shd w:val="clear" w:color="auto" w:fill="CBDBD1"/>
          </w:tcPr>
          <w:p>
            <w:pPr>
              <w:ind w:left="300"/>
              <w:spacing w:after="0"/>
              <w:rPr>
                <w:sz w:val="20"/>
                <w:szCs w:val="20"/>
                <w:color w:val="auto"/>
              </w:rPr>
            </w:pPr>
            <w:r>
              <w:rPr>
                <w:rFonts w:ascii="Arial" w:cs="Arial" w:eastAsia="Arial" w:hAnsi="Arial"/>
                <w:sz w:val="18"/>
                <w:szCs w:val="18"/>
                <w:color w:val="auto"/>
              </w:rPr>
              <w:t>related party</w:t>
            </w:r>
          </w:p>
        </w:tc>
        <w:tc>
          <w:tcPr>
            <w:tcW w:w="220" w:type="dxa"/>
            <w:vAlign w:val="bottom"/>
            <w:shd w:val="clear" w:color="auto" w:fill="CBDBD1"/>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left w:val="single" w:sz="8" w:color="CBDBD1"/>
            </w:tcBorders>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180" w:type="dxa"/>
            <w:vAlign w:val="bottom"/>
            <w:tcBorders>
              <w:left w:val="single" w:sz="8" w:color="CBDBD1"/>
            </w:tcBorders>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u w:val="single" w:color="auto"/>
          <w:color w:val="auto"/>
        </w:rPr>
        <w:t>Nature of Operations</w:t>
      </w:r>
    </w:p>
    <w:p>
      <w:pPr>
        <w:spacing w:after="0" w:line="256"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its name to OptimizeRx Corporation on October 22, 2007.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9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wholly-owned subsidiary, OptimizeRx Corporation, is a development-stage website publisher and marketing company that creates, promotes and fulfills custom marketing and advertising programs. The Company help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monitor patients each month in exchange for activation of their monthly co-pay coupons.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business have been considered as part of its development stage activities.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OptyimizeRx Corporation (a Michigan corporation). All material inter-company transactions have been eliminated in the consolidation.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capital assets are being depreciated over their estimated useful lives using the straight line method of depreciation for book purposes. As of October 18, 2007, the Company acquired the majority of its capital assets at the lower market cost from Optimizer Systems, LLC.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660"/>
        <w:spacing w:after="0" w:line="323" w:lineRule="auto"/>
        <w:rPr>
          <w:sz w:val="20"/>
          <w:szCs w:val="20"/>
          <w:color w:val="auto"/>
        </w:rPr>
      </w:pPr>
      <w:r>
        <w:rPr>
          <w:rFonts w:ascii="Arial" w:cs="Arial" w:eastAsia="Arial" w:hAnsi="Arial"/>
          <w:sz w:val="16"/>
          <w:szCs w:val="16"/>
          <w:color w:val="auto"/>
        </w:rPr>
        <w:t>The Company’s key members are part of a continual research and development team and monitor new technologies, trends, services and partnerships that can provide the Company with additional services, value to healthcare and pharmaceutical industries and to the patients we serve.</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is currently in a launch phase with ADHERxE to allow pharmaceutical and healthcare manufacturers unique ways to engage and monitor patients each month in exchange for activation of their next savings offer.</w:t>
      </w:r>
    </w:p>
    <w:p>
      <w:pPr>
        <w:spacing w:after="0" w:line="1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seeks to educate team members through understanding of all market dynamics that have the potential to affect business both short term and long term. The primary goal is to help patients better afford and access the medications their doctors prescribe, as well as other healthcare products and services they need. Based on this, the Company continually seeks better ways to meet this mission through technology, better user experiences and new ways to engage industries to provide new support program for patients needing their products. The Company is always seeking new services and solutions to offer. At this time, the three current platforms provide robust opportunities and growth during the next five years.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those estimates.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2008 and 2007, respectively, since their effect is anti-dilutive.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recorded at cost and consisted of the following at December 31:</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BDBD1"/>
            </w:tcBorders>
            <w:shd w:val="clear" w:color="auto" w:fill="CBDBD1"/>
          </w:tcPr>
          <w:p>
            <w:pPr>
              <w:jc w:val="right"/>
              <w:ind w:right="30"/>
              <w:spacing w:after="0"/>
              <w:rPr>
                <w:sz w:val="20"/>
                <w:szCs w:val="20"/>
                <w:color w:val="auto"/>
              </w:rPr>
            </w:pPr>
            <w:r>
              <w:rPr>
                <w:rFonts w:ascii="Arial" w:cs="Arial" w:eastAsia="Arial" w:hAnsi="Arial"/>
                <w:sz w:val="18"/>
                <w:szCs w:val="18"/>
                <w:color w:val="auto"/>
              </w:rPr>
              <w:t>12,594</w:t>
            </w:r>
          </w:p>
        </w:tc>
        <w:tc>
          <w:tcPr>
            <w:tcW w:w="200" w:type="dxa"/>
            <w:vAlign w:val="bottom"/>
            <w:shd w:val="clear" w:color="auto" w:fill="CBDBD1"/>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4,293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BDBD1"/>
          </w:tcPr>
          <w:p>
            <w:pPr>
              <w:ind w:left="200"/>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jc w:val="right"/>
              <w:ind w:right="30"/>
              <w:spacing w:after="0"/>
              <w:rPr>
                <w:sz w:val="20"/>
                <w:szCs w:val="20"/>
                <w:color w:val="auto"/>
              </w:rPr>
            </w:pPr>
            <w:r>
              <w:rPr>
                <w:rFonts w:ascii="Arial" w:cs="Arial" w:eastAsia="Arial" w:hAnsi="Arial"/>
                <w:sz w:val="18"/>
                <w:szCs w:val="18"/>
                <w:color w:val="auto"/>
              </w:rPr>
              <w:t>16,887</w:t>
            </w: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6,267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4"/>
              </w:rPr>
              <w:t>Accumulated depreciation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BDBD1"/>
          </w:tcPr>
          <w:p>
            <w:pPr>
              <w:ind w:left="160"/>
              <w:spacing w:after="0" w:line="201" w:lineRule="exact"/>
              <w:rPr>
                <w:sz w:val="20"/>
                <w:szCs w:val="20"/>
                <w:color w:val="auto"/>
              </w:rPr>
            </w:pPr>
            <w:r>
              <w:rPr>
                <w:rFonts w:ascii="Arial" w:cs="Arial" w:eastAsia="Arial" w:hAnsi="Arial"/>
                <w:sz w:val="18"/>
                <w:szCs w:val="18"/>
                <w:color w:val="auto"/>
                <w:w w:val="91"/>
              </w:rPr>
              <w:t>Property and equipment,</w:t>
            </w:r>
          </w:p>
        </w:tc>
        <w:tc>
          <w:tcPr>
            <w:tcW w:w="240" w:type="dxa"/>
            <w:vAlign w:val="bottom"/>
            <w:shd w:val="clear" w:color="auto" w:fill="CBDBD1"/>
          </w:tcPr>
          <w:p>
            <w:pPr>
              <w:spacing w:after="0"/>
              <w:rPr>
                <w:sz w:val="17"/>
                <w:szCs w:val="17"/>
                <w:color w:val="auto"/>
              </w:rPr>
            </w:pPr>
          </w:p>
        </w:tc>
        <w:tc>
          <w:tcPr>
            <w:tcW w:w="1020" w:type="dxa"/>
            <w:vAlign w:val="bottom"/>
            <w:tcBorders>
              <w:right w:val="single" w:sz="8" w:color="CBDBD1"/>
            </w:tcBorders>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BDBD1"/>
            </w:tcBorders>
            <w:shd w:val="clear" w:color="auto" w:fill="CBDBD1"/>
          </w:tcPr>
          <w:p>
            <w:pPr>
              <w:jc w:val="right"/>
              <w:ind w:right="30"/>
              <w:spacing w:after="0"/>
              <w:rPr>
                <w:sz w:val="20"/>
                <w:szCs w:val="20"/>
                <w:color w:val="auto"/>
              </w:rPr>
            </w:pPr>
            <w:r>
              <w:rPr>
                <w:rFonts w:ascii="Arial" w:cs="Arial" w:eastAsia="Arial" w:hAnsi="Arial"/>
                <w:sz w:val="18"/>
                <w:szCs w:val="18"/>
                <w:color w:val="auto"/>
              </w:rPr>
              <w:t>15,270</w:t>
            </w:r>
          </w:p>
        </w:tc>
        <w:tc>
          <w:tcPr>
            <w:tcW w:w="200" w:type="dxa"/>
            <w:vAlign w:val="bottom"/>
            <w:shd w:val="clear" w:color="auto" w:fill="CBDBD1"/>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$1,322 and $256 for the years ended December 31, 2008 and 2007,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Website Development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December 31:</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BDBD1"/>
          </w:tcPr>
          <w:p>
            <w:pPr>
              <w:spacing w:after="0"/>
              <w:rPr>
                <w:sz w:val="20"/>
                <w:szCs w:val="20"/>
                <w:color w:val="auto"/>
              </w:rPr>
            </w:pPr>
            <w:r>
              <w:rPr>
                <w:rFonts w:ascii="Arial" w:cs="Arial" w:eastAsia="Arial" w:hAnsi="Arial"/>
                <w:sz w:val="18"/>
                <w:szCs w:val="18"/>
                <w:color w:val="auto"/>
              </w:rPr>
              <w:t>Website costs</w:t>
            </w:r>
          </w:p>
        </w:tc>
        <w:tc>
          <w:tcPr>
            <w:tcW w:w="2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154,133</w:t>
            </w:r>
          </w:p>
        </w:tc>
        <w:tc>
          <w:tcPr>
            <w:tcW w:w="2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3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(33,396)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(2,569)</w:t>
            </w:r>
          </w:p>
        </w:tc>
      </w:tr>
      <w:tr>
        <w:trPr>
          <w:trHeight w:val="202"/>
        </w:trPr>
        <w:tc>
          <w:tcPr>
            <w:tcW w:w="20" w:type="dxa"/>
            <w:vAlign w:val="bottom"/>
          </w:tcPr>
          <w:p>
            <w:pPr>
              <w:spacing w:after="0"/>
              <w:rPr>
                <w:sz w:val="17"/>
                <w:szCs w:val="17"/>
                <w:color w:val="auto"/>
              </w:rPr>
            </w:pPr>
          </w:p>
        </w:tc>
        <w:tc>
          <w:tcPr>
            <w:tcW w:w="1360" w:type="dxa"/>
            <w:vAlign w:val="bottom"/>
            <w:shd w:val="clear" w:color="auto" w:fill="CBDBD1"/>
          </w:tcPr>
          <w:p>
            <w:pPr>
              <w:ind w:left="160"/>
              <w:spacing w:after="0" w:line="201" w:lineRule="exact"/>
              <w:rPr>
                <w:sz w:val="20"/>
                <w:szCs w:val="20"/>
                <w:color w:val="auto"/>
              </w:rPr>
            </w:pPr>
            <w:r>
              <w:rPr>
                <w:rFonts w:ascii="Arial" w:cs="Arial" w:eastAsia="Arial" w:hAnsi="Arial"/>
                <w:sz w:val="18"/>
                <w:szCs w:val="18"/>
                <w:color w:val="auto"/>
              </w:rPr>
              <w:t>Website</w:t>
            </w:r>
          </w:p>
        </w:tc>
        <w:tc>
          <w:tcPr>
            <w:tcW w:w="20" w:type="dxa"/>
            <w:vAlign w:val="bottom"/>
            <w:shd w:val="clear" w:color="auto" w:fill="CBDBD1"/>
          </w:tcPr>
          <w:p>
            <w:pPr>
              <w:spacing w:after="0"/>
              <w:rPr>
                <w:sz w:val="17"/>
                <w:szCs w:val="17"/>
                <w:color w:val="auto"/>
              </w:rPr>
            </w:pPr>
          </w:p>
        </w:tc>
        <w:tc>
          <w:tcPr>
            <w:tcW w:w="180" w:type="dxa"/>
            <w:vAlign w:val="bottom"/>
            <w:tcBorders>
              <w:top w:val="single" w:sz="8" w:color="auto"/>
            </w:tcBorders>
            <w:shd w:val="clear" w:color="auto" w:fill="CBDBD1"/>
          </w:tcPr>
          <w:p>
            <w:pPr>
              <w:spacing w:after="0"/>
              <w:rPr>
                <w:sz w:val="17"/>
                <w:szCs w:val="17"/>
                <w:color w:val="auto"/>
              </w:rPr>
            </w:pPr>
          </w:p>
        </w:tc>
        <w:tc>
          <w:tcPr>
            <w:tcW w:w="700" w:type="dxa"/>
            <w:vAlign w:val="bottom"/>
            <w:tcBorders>
              <w:top w:val="single" w:sz="8" w:color="auto"/>
            </w:tcBorders>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0" w:type="dxa"/>
            <w:vAlign w:val="bottom"/>
            <w:shd w:val="clear" w:color="auto" w:fill="CBDBD1"/>
          </w:tcPr>
          <w:p>
            <w:pPr>
              <w:spacing w:after="0"/>
              <w:rPr>
                <w:sz w:val="17"/>
                <w:szCs w:val="17"/>
                <w:color w:val="auto"/>
              </w:rPr>
            </w:pPr>
          </w:p>
        </w:tc>
        <w:tc>
          <w:tcPr>
            <w:tcW w:w="180" w:type="dxa"/>
            <w:vAlign w:val="bottom"/>
            <w:tcBorders>
              <w:top w:val="single" w:sz="8" w:color="auto"/>
            </w:tcBorders>
            <w:shd w:val="clear" w:color="auto" w:fill="CBDBD1"/>
          </w:tcPr>
          <w:p>
            <w:pPr>
              <w:spacing w:after="0"/>
              <w:rPr>
                <w:sz w:val="17"/>
                <w:szCs w:val="17"/>
                <w:color w:val="auto"/>
              </w:rPr>
            </w:pPr>
          </w:p>
        </w:tc>
        <w:tc>
          <w:tcPr>
            <w:tcW w:w="700" w:type="dxa"/>
            <w:vAlign w:val="bottom"/>
            <w:tcBorders>
              <w:top w:val="single" w:sz="8" w:color="auto"/>
            </w:tcBorders>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BDBD1"/>
          </w:tcPr>
          <w:p>
            <w:pPr>
              <w:spacing w:after="0"/>
              <w:rPr>
                <w:sz w:val="20"/>
                <w:szCs w:val="20"/>
                <w:color w:val="auto"/>
              </w:rPr>
            </w:pPr>
            <w:r>
              <w:rPr>
                <w:rFonts w:ascii="Arial" w:cs="Arial" w:eastAsia="Arial" w:hAnsi="Arial"/>
                <w:sz w:val="18"/>
                <w:szCs w:val="18"/>
                <w:color w:val="auto"/>
                <w:w w:val="86"/>
              </w:rPr>
              <w:t>development costs,</w:t>
            </w:r>
          </w:p>
        </w:tc>
        <w:tc>
          <w:tcPr>
            <w:tcW w:w="2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136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net</w:t>
            </w:r>
          </w:p>
        </w:tc>
        <w:tc>
          <w:tcPr>
            <w:tcW w:w="20" w:type="dxa"/>
            <w:vAlign w:val="bottom"/>
            <w:tcBorders>
              <w:bottom w:val="single" w:sz="8" w:color="CBDBD1"/>
            </w:tcBorders>
            <w:shd w:val="clear" w:color="auto" w:fill="CBDBD1"/>
          </w:tcPr>
          <w:p>
            <w:pPr>
              <w:spacing w:after="0"/>
              <w:rPr>
                <w:sz w:val="23"/>
                <w:szCs w:val="23"/>
                <w:color w:val="auto"/>
              </w:rPr>
            </w:pPr>
          </w:p>
        </w:tc>
        <w:tc>
          <w:tcPr>
            <w:tcW w:w="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120,737</w:t>
            </w:r>
          </w:p>
        </w:tc>
        <w:tc>
          <w:tcPr>
            <w:tcW w:w="40" w:type="dxa"/>
            <w:vAlign w:val="bottom"/>
            <w:tcBorders>
              <w:bottom w:val="single" w:sz="8" w:color="CBDBD1"/>
            </w:tcBorders>
            <w:shd w:val="clear" w:color="auto" w:fill="CBDBD1"/>
          </w:tcPr>
          <w:p>
            <w:pPr>
              <w:spacing w:after="0"/>
              <w:rPr>
                <w:sz w:val="23"/>
                <w:szCs w:val="23"/>
                <w:color w:val="auto"/>
              </w:rPr>
            </w:pPr>
          </w:p>
        </w:tc>
        <w:tc>
          <w:tcPr>
            <w:tcW w:w="20" w:type="dxa"/>
            <w:vAlign w:val="bottom"/>
            <w:tcBorders>
              <w:bottom w:val="single" w:sz="8" w:color="CBDBD1"/>
            </w:tcBorders>
            <w:shd w:val="clear" w:color="auto" w:fill="CBDBD1"/>
          </w:tcPr>
          <w:p>
            <w:pPr>
              <w:spacing w:after="0"/>
              <w:rPr>
                <w:sz w:val="23"/>
                <w:szCs w:val="23"/>
                <w:color w:val="auto"/>
              </w:rPr>
            </w:pPr>
          </w:p>
        </w:tc>
        <w:tc>
          <w:tcPr>
            <w:tcW w:w="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151,564</w:t>
            </w:r>
          </w:p>
        </w:tc>
        <w:tc>
          <w:tcPr>
            <w:tcW w:w="20" w:type="dxa"/>
            <w:vAlign w:val="bottom"/>
          </w:tcPr>
          <w:p>
            <w:pPr>
              <w:spacing w:after="0"/>
              <w:rPr>
                <w:sz w:val="23"/>
                <w:szCs w:val="23"/>
                <w:color w:val="auto"/>
              </w:rPr>
            </w:pP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$30,827 and $2,569 for the years ended December 31, 2008 and 2007,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Accrued Expenses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at December 31:</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BDBD1"/>
          </w:tcPr>
          <w:p>
            <w:pPr>
              <w:spacing w:after="0"/>
              <w:rPr>
                <w:sz w:val="20"/>
                <w:szCs w:val="20"/>
                <w:color w:val="auto"/>
              </w:rPr>
            </w:pPr>
            <w:r>
              <w:rPr>
                <w:rFonts w:ascii="Arial" w:cs="Arial" w:eastAsia="Arial" w:hAnsi="Arial"/>
                <w:sz w:val="18"/>
                <w:szCs w:val="18"/>
                <w:color w:val="auto"/>
                <w:w w:val="96"/>
              </w:rPr>
              <w:t>Accrued interest</w:t>
            </w:r>
          </w:p>
        </w:tc>
        <w:tc>
          <w:tcPr>
            <w:tcW w:w="180" w:type="dxa"/>
            <w:vAlign w:val="bottom"/>
            <w:shd w:val="clear" w:color="auto" w:fill="CBDBD1"/>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1,683</w:t>
            </w:r>
          </w:p>
        </w:tc>
        <w:tc>
          <w:tcPr>
            <w:tcW w:w="180" w:type="dxa"/>
            <w:vAlign w:val="bottom"/>
            <w:shd w:val="clear" w:color="auto" w:fill="CBDBD1"/>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24,091</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128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Accrued</w:t>
            </w:r>
          </w:p>
        </w:tc>
        <w:tc>
          <w:tcPr>
            <w:tcW w:w="180" w:type="dxa"/>
            <w:vAlign w:val="bottom"/>
            <w:shd w:val="clear" w:color="auto" w:fill="CBDBD1"/>
          </w:tcPr>
          <w:p>
            <w:pPr>
              <w:spacing w:after="0"/>
              <w:rPr>
                <w:sz w:val="17"/>
                <w:szCs w:val="17"/>
                <w:color w:val="auto"/>
              </w:rPr>
            </w:pPr>
          </w:p>
        </w:tc>
        <w:tc>
          <w:tcPr>
            <w:tcW w:w="7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shd w:val="clear" w:color="auto" w:fill="CBDBD1"/>
          </w:tcPr>
          <w:p>
            <w:pPr>
              <w:spacing w:after="0"/>
              <w:rPr>
                <w:sz w:val="17"/>
                <w:szCs w:val="17"/>
                <w:color w:val="auto"/>
              </w:rPr>
            </w:pPr>
          </w:p>
        </w:tc>
        <w:tc>
          <w:tcPr>
            <w:tcW w:w="7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BDBD1"/>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BDBD1"/>
          </w:tcPr>
          <w:p>
            <w:pPr>
              <w:spacing w:after="0"/>
              <w:rPr>
                <w:sz w:val="20"/>
                <w:szCs w:val="20"/>
                <w:color w:val="auto"/>
              </w:rPr>
            </w:pPr>
          </w:p>
        </w:tc>
        <w:tc>
          <w:tcPr>
            <w:tcW w:w="8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6,159</w:t>
            </w:r>
          </w:p>
        </w:tc>
        <w:tc>
          <w:tcPr>
            <w:tcW w:w="180" w:type="dxa"/>
            <w:vAlign w:val="bottom"/>
            <w:shd w:val="clear" w:color="auto" w:fill="CBDBD1"/>
          </w:tcPr>
          <w:p>
            <w:pPr>
              <w:spacing w:after="0"/>
              <w:rPr>
                <w:sz w:val="20"/>
                <w:szCs w:val="20"/>
                <w:color w:val="auto"/>
              </w:rPr>
            </w:pP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10,354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Accrued audit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300" w:type="dxa"/>
            <w:vAlign w:val="bottom"/>
            <w:gridSpan w:val="2"/>
          </w:tcPr>
          <w:p>
            <w:pPr>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r>
      <w:tr>
        <w:trPr>
          <w:trHeight w:val="202"/>
        </w:trPr>
        <w:tc>
          <w:tcPr>
            <w:tcW w:w="20" w:type="dxa"/>
            <w:vAlign w:val="bottom"/>
          </w:tcPr>
          <w:p>
            <w:pPr>
              <w:spacing w:after="0"/>
              <w:rPr>
                <w:sz w:val="17"/>
                <w:szCs w:val="17"/>
                <w:color w:val="auto"/>
              </w:rPr>
            </w:pPr>
          </w:p>
        </w:tc>
        <w:tc>
          <w:tcPr>
            <w:tcW w:w="1280" w:type="dxa"/>
            <w:vAlign w:val="bottom"/>
            <w:shd w:val="clear" w:color="auto" w:fill="CBDBD1"/>
          </w:tcPr>
          <w:p>
            <w:pPr>
              <w:ind w:left="20"/>
              <w:spacing w:after="0" w:line="201" w:lineRule="exact"/>
              <w:rPr>
                <w:sz w:val="20"/>
                <w:szCs w:val="20"/>
                <w:color w:val="auto"/>
              </w:rPr>
            </w:pPr>
            <w:r>
              <w:rPr>
                <w:rFonts w:ascii="Arial" w:cs="Arial" w:eastAsia="Arial" w:hAnsi="Arial"/>
                <w:sz w:val="18"/>
                <w:szCs w:val="18"/>
                <w:color w:val="auto"/>
              </w:rPr>
              <w:t>Total accrued</w:t>
            </w:r>
          </w:p>
        </w:tc>
        <w:tc>
          <w:tcPr>
            <w:tcW w:w="180" w:type="dxa"/>
            <w:vAlign w:val="bottom"/>
            <w:tcBorders>
              <w:top w:val="single" w:sz="8" w:color="auto"/>
            </w:tcBorders>
            <w:shd w:val="clear" w:color="auto" w:fill="CBDBD1"/>
          </w:tcPr>
          <w:p>
            <w:pPr>
              <w:spacing w:after="0"/>
              <w:rPr>
                <w:sz w:val="17"/>
                <w:szCs w:val="17"/>
                <w:color w:val="auto"/>
              </w:rPr>
            </w:pPr>
          </w:p>
        </w:tc>
        <w:tc>
          <w:tcPr>
            <w:tcW w:w="740" w:type="dxa"/>
            <w:vAlign w:val="bottom"/>
            <w:tcBorders>
              <w:top w:val="single" w:sz="8" w:color="auto"/>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80" w:type="dxa"/>
            <w:vAlign w:val="bottom"/>
            <w:tcBorders>
              <w:top w:val="single" w:sz="8" w:color="auto"/>
            </w:tcBorders>
            <w:shd w:val="clear" w:color="auto" w:fill="CBDBD1"/>
          </w:tcPr>
          <w:p>
            <w:pPr>
              <w:spacing w:after="0"/>
              <w:rPr>
                <w:sz w:val="17"/>
                <w:szCs w:val="17"/>
                <w:color w:val="auto"/>
              </w:rPr>
            </w:pPr>
          </w:p>
        </w:tc>
        <w:tc>
          <w:tcPr>
            <w:tcW w:w="740" w:type="dxa"/>
            <w:vAlign w:val="bottom"/>
            <w:tcBorders>
              <w:top w:val="single" w:sz="8" w:color="auto"/>
            </w:tcBorders>
            <w:shd w:val="clear" w:color="auto" w:fill="CBDBD1"/>
          </w:tcPr>
          <w:p>
            <w:pPr>
              <w:spacing w:after="0"/>
              <w:rPr>
                <w:sz w:val="17"/>
                <w:szCs w:val="17"/>
                <w:color w:val="auto"/>
              </w:rPr>
            </w:pPr>
          </w:p>
        </w:tc>
        <w:tc>
          <w:tcPr>
            <w:tcW w:w="20" w:type="dxa"/>
            <w:vAlign w:val="bottom"/>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128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shd w:val="clear" w:color="auto" w:fill="CBDBD1"/>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41,933</w:t>
            </w:r>
          </w:p>
        </w:tc>
        <w:tc>
          <w:tcPr>
            <w:tcW w:w="80" w:type="dxa"/>
            <w:vAlign w:val="bottom"/>
            <w:tcBorders>
              <w:bottom w:val="single" w:sz="8" w:color="CBDBD1"/>
            </w:tcBorders>
            <w:shd w:val="clear" w:color="auto" w:fill="CBDBD1"/>
          </w:tcPr>
          <w:p>
            <w:pPr>
              <w:spacing w:after="0"/>
              <w:rPr>
                <w:sz w:val="23"/>
                <w:szCs w:val="23"/>
                <w:color w:val="auto"/>
              </w:rPr>
            </w:pPr>
          </w:p>
        </w:tc>
        <w:tc>
          <w:tcPr>
            <w:tcW w:w="180" w:type="dxa"/>
            <w:vAlign w:val="bottom"/>
            <w:tcBorders>
              <w:bottom w:val="single" w:sz="8" w:color="auto"/>
            </w:tcBorders>
            <w:shd w:val="clear" w:color="auto" w:fill="CBDBD1"/>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18,926</w:t>
            </w:r>
          </w:p>
        </w:tc>
        <w:tc>
          <w:tcPr>
            <w:tcW w:w="20" w:type="dxa"/>
            <w:vAlign w:val="bottom"/>
          </w:tcPr>
          <w:p>
            <w:pPr>
              <w:spacing w:after="0"/>
              <w:rPr>
                <w:sz w:val="23"/>
                <w:szCs w:val="23"/>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u w:val="single" w:color="auto"/>
          <w:color w:val="auto"/>
        </w:rPr>
        <w:t>Notes Payable – Related Party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 related party consisted of the following at December 31:</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r>
      <w:tr>
        <w:trPr>
          <w:trHeight w:val="202"/>
        </w:trPr>
        <w:tc>
          <w:tcPr>
            <w:tcW w:w="20" w:type="dxa"/>
            <w:vAlign w:val="bottom"/>
          </w:tcPr>
          <w:p>
            <w:pPr>
              <w:spacing w:after="0"/>
              <w:rPr>
                <w:sz w:val="17"/>
                <w:szCs w:val="17"/>
                <w:color w:val="auto"/>
              </w:rPr>
            </w:pPr>
          </w:p>
        </w:tc>
        <w:tc>
          <w:tcPr>
            <w:tcW w:w="1260" w:type="dxa"/>
            <w:vAlign w:val="bottom"/>
            <w:tcBorders>
              <w:right w:val="single" w:sz="8" w:color="CBDBD1"/>
            </w:tcBorders>
            <w:shd w:val="clear" w:color="auto" w:fill="CBDBD1"/>
          </w:tcPr>
          <w:p>
            <w:pPr>
              <w:spacing w:after="0" w:line="201" w:lineRule="exact"/>
              <w:rPr>
                <w:sz w:val="20"/>
                <w:szCs w:val="20"/>
                <w:color w:val="auto"/>
              </w:rPr>
            </w:pPr>
            <w:r>
              <w:rPr>
                <w:rFonts w:ascii="Arial" w:cs="Arial" w:eastAsia="Arial" w:hAnsi="Arial"/>
                <w:sz w:val="18"/>
                <w:szCs w:val="18"/>
                <w:color w:val="auto"/>
              </w:rPr>
              <w:t>Note payable –</w:t>
            </w:r>
          </w:p>
        </w:tc>
        <w:tc>
          <w:tcPr>
            <w:tcW w:w="160" w:type="dxa"/>
            <w:vAlign w:val="bottom"/>
            <w:shd w:val="clear" w:color="auto" w:fill="CBDBD1"/>
          </w:tcPr>
          <w:p>
            <w:pPr>
              <w:spacing w:after="0"/>
              <w:rPr>
                <w:sz w:val="17"/>
                <w:szCs w:val="17"/>
                <w:color w:val="auto"/>
              </w:rPr>
            </w:pPr>
          </w:p>
        </w:tc>
        <w:tc>
          <w:tcPr>
            <w:tcW w:w="740" w:type="dxa"/>
            <w:vAlign w:val="bottom"/>
            <w:tcBorders>
              <w:right w:val="single" w:sz="8" w:color="CBDBD1"/>
            </w:tcBorders>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Dante Panetta</w:t>
            </w:r>
          </w:p>
        </w:tc>
        <w:tc>
          <w:tcPr>
            <w:tcW w:w="160" w:type="dxa"/>
            <w:vAlign w:val="bottom"/>
            <w:shd w:val="clear" w:color="auto" w:fill="CBDBD1"/>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BDBD1"/>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50,000</w:t>
            </w:r>
          </w:p>
        </w:tc>
      </w:tr>
      <w:tr>
        <w:trPr>
          <w:trHeight w:val="202"/>
        </w:trPr>
        <w:tc>
          <w:tcPr>
            <w:tcW w:w="2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Note payable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David Harrell</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02"/>
        </w:trPr>
        <w:tc>
          <w:tcPr>
            <w:tcW w:w="20" w:type="dxa"/>
            <w:vAlign w:val="bottom"/>
          </w:tcPr>
          <w:p>
            <w:pPr>
              <w:spacing w:after="0"/>
              <w:rPr>
                <w:sz w:val="17"/>
                <w:szCs w:val="17"/>
                <w:color w:val="auto"/>
              </w:rPr>
            </w:pPr>
          </w:p>
        </w:tc>
        <w:tc>
          <w:tcPr>
            <w:tcW w:w="1260" w:type="dxa"/>
            <w:vAlign w:val="bottom"/>
            <w:tcBorders>
              <w:right w:val="single" w:sz="8" w:color="CBDBD1"/>
            </w:tcBorders>
            <w:shd w:val="clear" w:color="auto" w:fill="CBDBD1"/>
          </w:tcPr>
          <w:p>
            <w:pPr>
              <w:spacing w:after="0" w:line="201" w:lineRule="exact"/>
              <w:rPr>
                <w:sz w:val="20"/>
                <w:szCs w:val="20"/>
                <w:color w:val="auto"/>
              </w:rPr>
            </w:pPr>
            <w:r>
              <w:rPr>
                <w:rFonts w:ascii="Arial" w:cs="Arial" w:eastAsia="Arial" w:hAnsi="Arial"/>
                <w:sz w:val="18"/>
                <w:szCs w:val="18"/>
                <w:color w:val="auto"/>
                <w:w w:val="93"/>
              </w:rPr>
              <w:t>Notes payable –</w:t>
            </w:r>
          </w:p>
        </w:tc>
        <w:tc>
          <w:tcPr>
            <w:tcW w:w="160" w:type="dxa"/>
            <w:vAlign w:val="bottom"/>
            <w:shd w:val="clear" w:color="auto" w:fill="CBDBD1"/>
          </w:tcPr>
          <w:p>
            <w:pPr>
              <w:spacing w:after="0"/>
              <w:rPr>
                <w:sz w:val="17"/>
                <w:szCs w:val="17"/>
                <w:color w:val="auto"/>
              </w:rPr>
            </w:pPr>
          </w:p>
        </w:tc>
        <w:tc>
          <w:tcPr>
            <w:tcW w:w="740" w:type="dxa"/>
            <w:vAlign w:val="bottom"/>
            <w:tcBorders>
              <w:right w:val="single" w:sz="8" w:color="CBDBD1"/>
            </w:tcBorders>
            <w:shd w:val="clear" w:color="auto" w:fill="CBDBD1"/>
          </w:tcPr>
          <w:p>
            <w:pPr>
              <w:spacing w:after="0"/>
              <w:rPr>
                <w:sz w:val="17"/>
                <w:szCs w:val="17"/>
                <w:color w:val="auto"/>
              </w:rPr>
            </w:pPr>
          </w:p>
        </w:tc>
        <w:tc>
          <w:tcPr>
            <w:tcW w:w="2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LLC members</w:t>
            </w:r>
          </w:p>
        </w:tc>
        <w:tc>
          <w:tcPr>
            <w:tcW w:w="160" w:type="dxa"/>
            <w:vAlign w:val="bottom"/>
            <w:shd w:val="clear" w:color="auto" w:fill="CBDBD1"/>
          </w:tcPr>
          <w:p>
            <w:pPr>
              <w:spacing w:after="0"/>
              <w:rPr>
                <w:sz w:val="20"/>
                <w:szCs w:val="20"/>
                <w:color w:val="auto"/>
              </w:rPr>
            </w:pPr>
          </w:p>
        </w:tc>
        <w:tc>
          <w:tcPr>
            <w:tcW w:w="7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253,750</w:t>
            </w:r>
          </w:p>
        </w:tc>
      </w:tr>
      <w:tr>
        <w:trPr>
          <w:trHeight w:val="202"/>
        </w:trPr>
        <w:tc>
          <w:tcPr>
            <w:tcW w:w="20" w:type="dxa"/>
            <w:vAlign w:val="bottom"/>
          </w:tcPr>
          <w:p>
            <w:pPr>
              <w:spacing w:after="0"/>
              <w:rPr>
                <w:sz w:val="17"/>
                <w:szCs w:val="17"/>
                <w:color w:val="auto"/>
              </w:rPr>
            </w:pPr>
          </w:p>
        </w:tc>
        <w:tc>
          <w:tcPr>
            <w:tcW w:w="1260" w:type="dxa"/>
            <w:vAlign w:val="bottom"/>
          </w:tcPr>
          <w:p>
            <w:pPr>
              <w:ind w:left="300"/>
              <w:spacing w:after="0" w:line="201" w:lineRule="exact"/>
              <w:rPr>
                <w:sz w:val="20"/>
                <w:szCs w:val="20"/>
                <w:color w:val="auto"/>
              </w:rPr>
            </w:pPr>
            <w:r>
              <w:rPr>
                <w:rFonts w:ascii="Arial" w:cs="Arial" w:eastAsia="Arial" w:hAnsi="Arial"/>
                <w:sz w:val="18"/>
                <w:szCs w:val="18"/>
                <w:color w:val="auto"/>
                <w:w w:val="88"/>
              </w:rPr>
              <w:t>Less: current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portion</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(277,750)</w:t>
            </w:r>
          </w:p>
        </w:tc>
      </w:tr>
      <w:tr>
        <w:trPr>
          <w:trHeight w:val="202"/>
        </w:trPr>
        <w:tc>
          <w:tcPr>
            <w:tcW w:w="20" w:type="dxa"/>
            <w:vAlign w:val="bottom"/>
          </w:tcPr>
          <w:p>
            <w:pPr>
              <w:spacing w:after="0"/>
              <w:rPr>
                <w:sz w:val="17"/>
                <w:szCs w:val="17"/>
                <w:color w:val="auto"/>
              </w:rPr>
            </w:pPr>
          </w:p>
        </w:tc>
        <w:tc>
          <w:tcPr>
            <w:tcW w:w="1260" w:type="dxa"/>
            <w:vAlign w:val="bottom"/>
            <w:tcBorders>
              <w:right w:val="single" w:sz="8" w:color="CBDBD1"/>
            </w:tcBorders>
            <w:shd w:val="clear" w:color="auto" w:fill="CBDBD1"/>
          </w:tcPr>
          <w:p>
            <w:pPr>
              <w:ind w:left="160"/>
              <w:spacing w:after="0" w:line="201" w:lineRule="exact"/>
              <w:rPr>
                <w:sz w:val="20"/>
                <w:szCs w:val="20"/>
                <w:color w:val="auto"/>
              </w:rPr>
            </w:pPr>
            <w:r>
              <w:rPr>
                <w:rFonts w:ascii="Arial" w:cs="Arial" w:eastAsia="Arial" w:hAnsi="Arial"/>
                <w:sz w:val="18"/>
                <w:szCs w:val="18"/>
                <w:color w:val="auto"/>
              </w:rPr>
              <w:t>Long –Term</w:t>
            </w:r>
          </w:p>
        </w:tc>
        <w:tc>
          <w:tcPr>
            <w:tcW w:w="160" w:type="dxa"/>
            <w:vAlign w:val="bottom"/>
            <w:tcBorders>
              <w:top w:val="single" w:sz="8" w:color="auto"/>
            </w:tcBorders>
            <w:shd w:val="clear" w:color="auto" w:fill="CBDBD1"/>
          </w:tcPr>
          <w:p>
            <w:pPr>
              <w:spacing w:after="0"/>
              <w:rPr>
                <w:sz w:val="17"/>
                <w:szCs w:val="17"/>
                <w:color w:val="auto"/>
              </w:rPr>
            </w:pPr>
          </w:p>
        </w:tc>
        <w:tc>
          <w:tcPr>
            <w:tcW w:w="740" w:type="dxa"/>
            <w:vAlign w:val="bottom"/>
            <w:tcBorders>
              <w:top w:val="single" w:sz="8" w:color="auto"/>
              <w:right w:val="single" w:sz="8" w:color="CBDBD1"/>
            </w:tcBorders>
            <w:shd w:val="clear" w:color="auto" w:fill="CBDBD1"/>
          </w:tcPr>
          <w:p>
            <w:pPr>
              <w:spacing w:after="0"/>
              <w:rPr>
                <w:sz w:val="17"/>
                <w:szCs w:val="17"/>
                <w:color w:val="auto"/>
              </w:rPr>
            </w:pPr>
          </w:p>
        </w:tc>
        <w:tc>
          <w:tcPr>
            <w:tcW w:w="200" w:type="dxa"/>
            <w:vAlign w:val="bottom"/>
            <w:tcBorders>
              <w:top w:val="single" w:sz="8" w:color="auto"/>
            </w:tcBorders>
            <w:shd w:val="clear" w:color="auto" w:fill="CBDBD1"/>
          </w:tcPr>
          <w:p>
            <w:pPr>
              <w:spacing w:after="0"/>
              <w:rPr>
                <w:sz w:val="17"/>
                <w:szCs w:val="17"/>
                <w:color w:val="auto"/>
              </w:rPr>
            </w:pPr>
          </w:p>
        </w:tc>
        <w:tc>
          <w:tcPr>
            <w:tcW w:w="840" w:type="dxa"/>
            <w:vAlign w:val="bottom"/>
            <w:tcBorders>
              <w:top w:val="single" w:sz="8" w:color="auto"/>
            </w:tcBorders>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2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BDBD1"/>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BDBD1"/>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 payable to David Harrell is due on demand and bears 9% interest.</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note payable to Dante Panetta is non-interest bearing and was due within five days of the Company raising $1,000,000 of additional capital. The note was paid off during 2008.</w:t>
      </w:r>
    </w:p>
    <w:p>
      <w:pPr>
        <w:spacing w:after="0" w:line="19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notes payable to the LLC members were created with a dilution agreement on October 18, 2007 and were non-interest bearing. The notes were paid off in the first quarter of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leases its offices for $2,500 a month and has signed a lease through May 31, 2009 with an option for a six month renewal.</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rents: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40" w:type="dxa"/>
            <w:vAlign w:val="bottom"/>
            <w:shd w:val="clear" w:color="auto" w:fill="CBDBD1"/>
          </w:tcPr>
          <w:p>
            <w:pPr>
              <w:spacing w:after="0"/>
              <w:rPr>
                <w:sz w:val="20"/>
                <w:szCs w:val="20"/>
                <w:color w:val="auto"/>
              </w:rPr>
            </w:pPr>
            <w:r>
              <w:rPr>
                <w:rFonts w:ascii="Arial" w:cs="Arial" w:eastAsia="Arial" w:hAnsi="Arial"/>
                <w:sz w:val="18"/>
                <w:szCs w:val="18"/>
                <w:color w:val="auto"/>
              </w:rPr>
              <w:t>December 31,</w:t>
            </w:r>
          </w:p>
        </w:tc>
        <w:tc>
          <w:tcPr>
            <w:tcW w:w="240" w:type="dxa"/>
            <w:vAlign w:val="bottom"/>
            <w:shd w:val="clear" w:color="auto" w:fill="CBDBD1"/>
          </w:tcPr>
          <w:p>
            <w:pPr>
              <w:spacing w:after="0"/>
              <w:rPr>
                <w:sz w:val="17"/>
                <w:szCs w:val="17"/>
                <w:color w:val="auto"/>
              </w:rPr>
            </w:pPr>
          </w:p>
        </w:tc>
        <w:tc>
          <w:tcPr>
            <w:tcW w:w="660" w:type="dxa"/>
            <w:vAlign w:val="bottom"/>
            <w:shd w:val="clear" w:color="auto" w:fill="CBDBD1"/>
          </w:tcPr>
          <w:p>
            <w:pPr>
              <w:spacing w:after="0"/>
              <w:rPr>
                <w:sz w:val="17"/>
                <w:szCs w:val="17"/>
                <w:color w:val="auto"/>
              </w:rPr>
            </w:pPr>
          </w:p>
        </w:tc>
      </w:tr>
      <w:tr>
        <w:trPr>
          <w:trHeight w:val="230"/>
        </w:trPr>
        <w:tc>
          <w:tcPr>
            <w:tcW w:w="1240" w:type="dxa"/>
            <w:vAlign w:val="bottom"/>
            <w:shd w:val="clear" w:color="auto" w:fill="CBDBD1"/>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30,000</w:t>
            </w: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27,500</w:t>
            </w:r>
          </w:p>
        </w:tc>
      </w:tr>
      <w:tr>
        <w:trPr>
          <w:trHeight w:val="202"/>
        </w:trPr>
        <w:tc>
          <w:tcPr>
            <w:tcW w:w="1240" w:type="dxa"/>
            <w:vAlign w:val="bottom"/>
            <w:shd w:val="clear" w:color="auto" w:fill="CBDBD1"/>
          </w:tcPr>
          <w:p>
            <w:pPr>
              <w:ind w:left="180"/>
              <w:spacing w:after="0" w:line="201" w:lineRule="exact"/>
              <w:rPr>
                <w:sz w:val="20"/>
                <w:szCs w:val="20"/>
                <w:color w:val="auto"/>
              </w:rPr>
            </w:pPr>
            <w:r>
              <w:rPr>
                <w:rFonts w:ascii="Arial" w:cs="Arial" w:eastAsia="Arial" w:hAnsi="Arial"/>
                <w:sz w:val="18"/>
                <w:szCs w:val="18"/>
                <w:color w:val="auto"/>
              </w:rPr>
              <w:t>Total Lease</w:t>
            </w:r>
          </w:p>
        </w:tc>
        <w:tc>
          <w:tcPr>
            <w:tcW w:w="240" w:type="dxa"/>
            <w:vAlign w:val="bottom"/>
            <w:shd w:val="clear" w:color="auto" w:fill="CBDBD1"/>
          </w:tcPr>
          <w:p>
            <w:pPr>
              <w:spacing w:after="0"/>
              <w:rPr>
                <w:sz w:val="17"/>
                <w:szCs w:val="17"/>
                <w:color w:val="auto"/>
              </w:rPr>
            </w:pPr>
          </w:p>
        </w:tc>
        <w:tc>
          <w:tcPr>
            <w:tcW w:w="660" w:type="dxa"/>
            <w:vAlign w:val="bottom"/>
            <w:shd w:val="clear" w:color="auto" w:fill="CBDBD1"/>
          </w:tcPr>
          <w:p>
            <w:pPr>
              <w:spacing w:after="0"/>
              <w:rPr>
                <w:sz w:val="17"/>
                <w:szCs w:val="17"/>
                <w:color w:val="auto"/>
              </w:rPr>
            </w:pPr>
          </w:p>
        </w:tc>
      </w:tr>
      <w:tr>
        <w:trPr>
          <w:trHeight w:val="271"/>
        </w:trPr>
        <w:tc>
          <w:tcPr>
            <w:tcW w:w="124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Obligation</w:t>
            </w:r>
          </w:p>
        </w:tc>
        <w:tc>
          <w:tcPr>
            <w:tcW w:w="240" w:type="dxa"/>
            <w:vAlign w:val="bottom"/>
            <w:tcBorders>
              <w:bottom w:val="single" w:sz="8" w:color="auto"/>
            </w:tcBorders>
            <w:shd w:val="clear" w:color="auto" w:fill="CBDBD1"/>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57,500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u w:val="single" w:color="auto"/>
          <w:color w:val="auto"/>
        </w:rPr>
        <w:t>Dividend Distribution</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from the continuous efforts of acquiring assets from Optimizer Systems, LLC. Through this dividend, the Company acquired all assets and liabilities of the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u w:val="single" w:color="auto"/>
          <w:color w:val="auto"/>
        </w:rPr>
        <w:t>Common Stock</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OptimizeRx Corporation has 450,000,000 shares of $.001 par value common stock authorized as of December 31, 2008. There were 12,262,958 and 10,300,000 common shares issued and outstanding at December 31, 2008 and 2007, respectively.</w:t>
      </w:r>
    </w:p>
    <w:p>
      <w:pPr>
        <w:spacing w:after="0" w:line="197"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During 2008, 636,000 shares of common stock were sold for cash. Additionally, 70,000 shares were issued as compensation for services during the year ended December 31, 2008. 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Preferred Stock</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ten percent cumulative dividend. In addition, there was a warrant issued to purchase 6,000,000 shares of common stock at an exercise price of $2.00 for a period of 7 years.</w:t>
      </w:r>
    </w:p>
    <w:p>
      <w:pPr>
        <w:spacing w:after="0" w:line="193"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holders of the preferred stock are entitled to semi-annual dividends payable on the stated value of the Series A preferred stock at a rate of ten percent per annum, which shall be cumulative, and accrue daily from the issuance date. The dividends may be paid in cash or shares of the corporation’s common stock at management’s discretion. If after the conversion eligibility date, the market price for the common stock for any ten consecutive trading days in which the stock trades for over two dollars per share and trading exceeds 100,000 shares per day, the the preferred shareholders can be required to convert their shares to common stock. Each share of Series A preferred stock shall also be convertible at the option of the holder into that number of shares of common stock of the corporation at the stated value of such share at a one dollar conversion price.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Preferred Stock (continued)</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December 31, 2008, the cumulative dividend was $110,274, however, it has not yet been declared.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Stock-Based Compensation</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 xml:space="preserve">Effective January 1, 2006, the Company adopted SFAS No. 123 (revised), "Share-Based Payment: (SFAS 123(R)) utilizing the modified prospective approach. Prior to the adoption of SFAS 123(R) we accounted for stock option grant in accordance with APB Opinion No. 25,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Issued to Employees," </w:t>
      </w:r>
      <w:r>
        <w:rPr>
          <w:rFonts w:ascii="Arial" w:cs="Arial" w:eastAsia="Arial" w:hAnsi="Arial"/>
          <w:sz w:val="16"/>
          <w:szCs w:val="16"/>
          <w:color w:val="auto"/>
        </w:rPr>
        <w:t>and accordingly, recognized compensation expense for stock option grants using the intrinsic value method.</w:t>
      </w:r>
    </w:p>
    <w:p>
      <w:pPr>
        <w:spacing w:after="0" w:line="174"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0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Warrants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2008, OptimizeRx Corporation issued 6,000,000 common stock warrants with an exercise price of $2.00 and a term of seven years in connection with the preferred stock issuance. These warrants were valued using the Black-Scholes pricing model at $14,160,000. The warrants are treated as a re-distribution of equity and are shown as a component of equity.</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2008, OptimizeRx Corporation issued 1,059,500 common stock warrants were issued in exchange for services. These warrants were issued with exercise prices of either $1.00 or $2.00 and a term of five years. The Black-Scholes method was used to value these warrants at $2,745,280 and the warrants are being expensed during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Warrants (continued)</w:t>
      </w:r>
    </w:p>
    <w:p>
      <w:pPr>
        <w:spacing w:after="0" w:line="256"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fair value of each warrant issued in 2008 was calculated on the date of grant using the Black-Scholes option-pricing model with the following weighted average assumptions: dividend yield of 0%, expected volatility of 6%, risk-free interest rate of 1.85% and expected life of 60 - 84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u w:val="single" w:color="auto"/>
          <w:color w:val="auto"/>
        </w:rPr>
        <w:t>Related Party Transactions</w:t>
      </w:r>
    </w:p>
    <w:p>
      <w:pPr>
        <w:spacing w:after="0" w:line="256"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Company had engaged an officer of the company for management services under a contract that paid him $48,000 for the period ended April 30, 2008 and $114,500 for the year ended December 31, 2008. The officer became an employee of the Company beginning on May 1, 2008.</w:t>
      </w:r>
    </w:p>
    <w:p>
      <w:pPr>
        <w:spacing w:after="0" w:line="15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197"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The company had a $50,000 note payable to a shareholder (see note 6) that was repaid during the year ended December 31, 2008. In addition there was a note to an officer of the company (see note 6) for $4,000 and $24,000 at December 31, 2008 and 2007,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u w:val="single" w:color="auto"/>
          <w:color w:val="auto"/>
        </w:rPr>
        <w:t>Other Income (Expenses)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consisted of the following at December 31:</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5,090</w:t>
            </w:r>
          </w:p>
        </w:tc>
        <w:tc>
          <w:tcPr>
            <w:tcW w:w="24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Stock warrant expense</w:t>
            </w:r>
          </w:p>
        </w:tc>
        <w:tc>
          <w:tcPr>
            <w:tcW w:w="260" w:type="dxa"/>
            <w:vAlign w:val="bottom"/>
            <w:tcBorders>
              <w:bottom w:val="single" w:sz="8" w:color="auto"/>
            </w:tcBorders>
            <w:shd w:val="clear" w:color="auto" w:fill="CBDBD1"/>
          </w:tcPr>
          <w:p>
            <w:pPr>
              <w:spacing w:after="0"/>
              <w:rPr>
                <w:sz w:val="19"/>
                <w:szCs w:val="19"/>
                <w:color w:val="auto"/>
              </w:rPr>
            </w:pPr>
          </w:p>
        </w:tc>
        <w:tc>
          <w:tcPr>
            <w:tcW w:w="10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(2,745,280)</w:t>
            </w:r>
          </w:p>
        </w:tc>
        <w:tc>
          <w:tcPr>
            <w:tcW w:w="40" w:type="dxa"/>
            <w:vAlign w:val="bottom"/>
            <w:tcBorders>
              <w:bottom w:val="single" w:sz="8" w:color="CBDBD1"/>
            </w:tcBorders>
            <w:shd w:val="clear" w:color="auto" w:fill="CBDBD1"/>
          </w:tcPr>
          <w:p>
            <w:pPr>
              <w:spacing w:after="0"/>
              <w:rPr>
                <w:sz w:val="19"/>
                <w:szCs w:val="19"/>
                <w:color w:val="auto"/>
              </w:rPr>
            </w:pPr>
          </w:p>
        </w:tc>
        <w:tc>
          <w:tcPr>
            <w:tcW w:w="4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920" w:type="dxa"/>
            <w:vAlign w:val="bottom"/>
          </w:tcPr>
          <w:p>
            <w:pPr>
              <w:ind w:left="460"/>
              <w:spacing w:after="0" w:line="201" w:lineRule="exact"/>
              <w:rPr>
                <w:sz w:val="20"/>
                <w:szCs w:val="20"/>
                <w:color w:val="auto"/>
              </w:rPr>
            </w:pPr>
            <w:r>
              <w:rPr>
                <w:rFonts w:ascii="Arial" w:cs="Arial" w:eastAsia="Arial" w:hAnsi="Arial"/>
                <w:sz w:val="18"/>
                <w:szCs w:val="18"/>
                <w:color w:val="auto"/>
                <w:w w:val="96"/>
              </w:rPr>
              <w:t>Total other income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20" w:type="dxa"/>
            <w:vAlign w:val="bottom"/>
          </w:tcPr>
          <w:p>
            <w:pPr>
              <w:ind w:left="460"/>
              <w:spacing w:after="0"/>
              <w:rPr>
                <w:sz w:val="20"/>
                <w:szCs w:val="20"/>
                <w:color w:val="auto"/>
              </w:rPr>
            </w:pPr>
            <w:r>
              <w:rPr>
                <w:rFonts w:ascii="Arial" w:cs="Arial" w:eastAsia="Arial" w:hAnsi="Arial"/>
                <w:sz w:val="18"/>
                <w:szCs w:val="18"/>
                <w:color w:val="auto"/>
              </w:rPr>
              <w:t>(expenses)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(2,740,801)</w:t>
            </w:r>
          </w:p>
        </w:tc>
        <w:tc>
          <w:tcPr>
            <w:tcW w:w="4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(5,525)</w:t>
            </w: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left="660" w:right="40"/>
        <w:spacing w:after="0" w:line="279" w:lineRule="auto"/>
        <w:rPr>
          <w:sz w:val="20"/>
          <w:szCs w:val="20"/>
          <w:color w:val="auto"/>
        </w:rPr>
      </w:pPr>
      <w:r>
        <w:rPr>
          <w:rFonts w:ascii="Arial" w:cs="Arial" w:eastAsia="Arial" w:hAnsi="Arial"/>
          <w:sz w:val="17"/>
          <w:szCs w:val="17"/>
          <w:color w:val="auto"/>
        </w:rPr>
        <w:t>For the period ended December 31, 2008, the Company incurred a net loss of approximately $4,250,000 and therefore has no tax liability. The company began operations in 2007 and has previous net operating loss carry-forwards of $200,000. The cumulative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2008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u w:val="single" w:color="auto"/>
          <w:color w:val="auto"/>
        </w:rPr>
        <w:t>Income Taxes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cumulative tax effect at the expected rate of 34% of significant items comprising our net deferred tax amount is as follows: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Deferred tax asset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attributable to:</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2"/>
        </w:trPr>
        <w:tc>
          <w:tcPr>
            <w:tcW w:w="1620" w:type="dxa"/>
            <w:vAlign w:val="bottom"/>
            <w:shd w:val="clear" w:color="auto" w:fill="CBDBD1"/>
          </w:tcPr>
          <w:p>
            <w:pPr>
              <w:ind w:left="80"/>
              <w:spacing w:after="0" w:line="201" w:lineRule="exact"/>
              <w:rPr>
                <w:sz w:val="20"/>
                <w:szCs w:val="20"/>
                <w:color w:val="auto"/>
              </w:rPr>
            </w:pPr>
            <w:r>
              <w:rPr>
                <w:rFonts w:ascii="Arial" w:cs="Arial" w:eastAsia="Arial" w:hAnsi="Arial"/>
                <w:sz w:val="18"/>
                <w:szCs w:val="18"/>
                <w:color w:val="auto"/>
              </w:rPr>
              <w:t>Net operating loss</w:t>
            </w:r>
          </w:p>
        </w:tc>
        <w:tc>
          <w:tcPr>
            <w:tcW w:w="60" w:type="dxa"/>
            <w:vAlign w:val="bottom"/>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60" w:type="dxa"/>
            <w:vAlign w:val="bottom"/>
            <w:shd w:val="clear" w:color="auto" w:fill="CBDBD1"/>
          </w:tcPr>
          <w:p>
            <w:pPr>
              <w:spacing w:after="0"/>
              <w:rPr>
                <w:sz w:val="17"/>
                <w:szCs w:val="17"/>
                <w:color w:val="auto"/>
              </w:rPr>
            </w:pPr>
          </w:p>
        </w:tc>
        <w:tc>
          <w:tcPr>
            <w:tcW w:w="6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4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r>
      <w:tr>
        <w:trPr>
          <w:trHeight w:val="230"/>
        </w:trPr>
        <w:tc>
          <w:tcPr>
            <w:tcW w:w="1620" w:type="dxa"/>
            <w:vAlign w:val="bottom"/>
            <w:shd w:val="clear" w:color="auto" w:fill="CBDBD1"/>
          </w:tcPr>
          <w:p>
            <w:pPr>
              <w:spacing w:after="0"/>
              <w:rPr>
                <w:sz w:val="20"/>
                <w:szCs w:val="20"/>
                <w:color w:val="auto"/>
              </w:rPr>
            </w:pPr>
            <w:r>
              <w:rPr>
                <w:rFonts w:ascii="Arial" w:cs="Arial" w:eastAsia="Arial" w:hAnsi="Arial"/>
                <w:sz w:val="18"/>
                <w:szCs w:val="18"/>
                <w:color w:val="auto"/>
              </w:rPr>
              <w:t>carryover</w:t>
            </w:r>
          </w:p>
        </w:tc>
        <w:tc>
          <w:tcPr>
            <w:tcW w:w="360" w:type="dxa"/>
            <w:vAlign w:val="bottom"/>
            <w:gridSpan w:val="2"/>
            <w:shd w:val="clear" w:color="auto" w:fill="CBDBD1"/>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1,513,000</w:t>
            </w:r>
          </w:p>
        </w:tc>
        <w:tc>
          <w:tcPr>
            <w:tcW w:w="60" w:type="dxa"/>
            <w:vAlign w:val="bottom"/>
            <w:shd w:val="clear" w:color="auto" w:fill="CBDBD1"/>
          </w:tcPr>
          <w:p>
            <w:pPr>
              <w:spacing w:after="0"/>
              <w:rPr>
                <w:sz w:val="20"/>
                <w:szCs w:val="20"/>
                <w:color w:val="auto"/>
              </w:rPr>
            </w:pPr>
          </w:p>
        </w:tc>
        <w:tc>
          <w:tcPr>
            <w:tcW w:w="280" w:type="dxa"/>
            <w:vAlign w:val="bottom"/>
            <w:gridSpan w:val="2"/>
            <w:shd w:val="clear" w:color="auto" w:fill="CBDBD1"/>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68,000</w:t>
            </w:r>
          </w:p>
        </w:tc>
      </w:tr>
      <w:tr>
        <w:trPr>
          <w:trHeight w:val="223"/>
        </w:trPr>
        <w:tc>
          <w:tcPr>
            <w:tcW w:w="1620" w:type="dxa"/>
            <w:vAlign w:val="bottom"/>
          </w:tcPr>
          <w:p>
            <w:pPr>
              <w:ind w:left="80"/>
              <w:spacing w:after="0"/>
              <w:rPr>
                <w:sz w:val="20"/>
                <w:szCs w:val="20"/>
                <w:color w:val="auto"/>
              </w:rPr>
            </w:pPr>
            <w:r>
              <w:rPr>
                <w:rFonts w:ascii="Arial" w:cs="Arial" w:eastAsia="Arial" w:hAnsi="Arial"/>
                <w:sz w:val="18"/>
                <w:szCs w:val="18"/>
                <w:color w:val="auto"/>
                <w:w w:val="94"/>
              </w:rPr>
              <w:t>Valuation allowance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(1,513,000)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(68,000)</w:t>
            </w:r>
          </w:p>
        </w:tc>
      </w:tr>
      <w:tr>
        <w:trPr>
          <w:trHeight w:val="202"/>
        </w:trPr>
        <w:tc>
          <w:tcPr>
            <w:tcW w:w="1620" w:type="dxa"/>
            <w:vAlign w:val="bottom"/>
            <w:shd w:val="clear" w:color="auto" w:fill="CBDBD1"/>
          </w:tcPr>
          <w:p>
            <w:pPr>
              <w:ind w:left="260"/>
              <w:spacing w:after="0" w:line="201" w:lineRule="exact"/>
              <w:rPr>
                <w:sz w:val="20"/>
                <w:szCs w:val="20"/>
                <w:color w:val="auto"/>
              </w:rPr>
            </w:pPr>
            <w:r>
              <w:rPr>
                <w:rFonts w:ascii="Arial" w:cs="Arial" w:eastAsia="Arial" w:hAnsi="Arial"/>
                <w:sz w:val="18"/>
                <w:szCs w:val="18"/>
                <w:color w:val="auto"/>
              </w:rPr>
              <w:t>Net deferred tax</w:t>
            </w:r>
          </w:p>
        </w:tc>
        <w:tc>
          <w:tcPr>
            <w:tcW w:w="60" w:type="dxa"/>
            <w:vAlign w:val="bottom"/>
            <w:shd w:val="clear" w:color="auto" w:fill="CBDBD1"/>
          </w:tcPr>
          <w:p>
            <w:pPr>
              <w:spacing w:after="0"/>
              <w:rPr>
                <w:sz w:val="17"/>
                <w:szCs w:val="17"/>
                <w:color w:val="auto"/>
              </w:rPr>
            </w:pPr>
          </w:p>
        </w:tc>
        <w:tc>
          <w:tcPr>
            <w:tcW w:w="300" w:type="dxa"/>
            <w:vAlign w:val="bottom"/>
            <w:tcBorders>
              <w:top w:val="single" w:sz="8" w:color="auto"/>
            </w:tcBorders>
            <w:shd w:val="clear" w:color="auto" w:fill="CBDBD1"/>
          </w:tcPr>
          <w:p>
            <w:pPr>
              <w:spacing w:after="0"/>
              <w:rPr>
                <w:sz w:val="17"/>
                <w:szCs w:val="17"/>
                <w:color w:val="auto"/>
              </w:rPr>
            </w:pPr>
          </w:p>
        </w:tc>
        <w:tc>
          <w:tcPr>
            <w:tcW w:w="1060" w:type="dxa"/>
            <w:vAlign w:val="bottom"/>
            <w:tcBorders>
              <w:top w:val="single" w:sz="8" w:color="auto"/>
            </w:tcBorders>
            <w:shd w:val="clear" w:color="auto" w:fill="CBDBD1"/>
          </w:tcPr>
          <w:p>
            <w:pPr>
              <w:spacing w:after="0"/>
              <w:rPr>
                <w:sz w:val="17"/>
                <w:szCs w:val="17"/>
                <w:color w:val="auto"/>
              </w:rPr>
            </w:pPr>
          </w:p>
        </w:tc>
        <w:tc>
          <w:tcPr>
            <w:tcW w:w="60" w:type="dxa"/>
            <w:vAlign w:val="bottom"/>
            <w:shd w:val="clear" w:color="auto" w:fill="CBDBD1"/>
          </w:tcPr>
          <w:p>
            <w:pPr>
              <w:spacing w:after="0"/>
              <w:rPr>
                <w:sz w:val="17"/>
                <w:szCs w:val="17"/>
                <w:color w:val="auto"/>
              </w:rPr>
            </w:pPr>
          </w:p>
        </w:tc>
        <w:tc>
          <w:tcPr>
            <w:tcW w:w="40" w:type="dxa"/>
            <w:vAlign w:val="bottom"/>
            <w:shd w:val="clear" w:color="auto" w:fill="CBDBD1"/>
          </w:tcPr>
          <w:p>
            <w:pPr>
              <w:spacing w:after="0"/>
              <w:rPr>
                <w:sz w:val="17"/>
                <w:szCs w:val="17"/>
                <w:color w:val="auto"/>
              </w:rPr>
            </w:pPr>
          </w:p>
        </w:tc>
        <w:tc>
          <w:tcPr>
            <w:tcW w:w="240" w:type="dxa"/>
            <w:vAlign w:val="bottom"/>
            <w:tcBorders>
              <w:top w:val="single" w:sz="8" w:color="auto"/>
            </w:tcBorders>
            <w:shd w:val="clear" w:color="auto" w:fill="CBDBD1"/>
          </w:tcPr>
          <w:p>
            <w:pPr>
              <w:spacing w:after="0"/>
              <w:rPr>
                <w:sz w:val="17"/>
                <w:szCs w:val="17"/>
                <w:color w:val="auto"/>
              </w:rPr>
            </w:pPr>
          </w:p>
        </w:tc>
        <w:tc>
          <w:tcPr>
            <w:tcW w:w="920" w:type="dxa"/>
            <w:vAlign w:val="bottom"/>
            <w:tcBorders>
              <w:top w:val="single" w:sz="8" w:color="auto"/>
            </w:tcBorders>
            <w:shd w:val="clear" w:color="auto" w:fill="CBDBD1"/>
          </w:tcPr>
          <w:p>
            <w:pPr>
              <w:spacing w:after="0"/>
              <w:rPr>
                <w:sz w:val="17"/>
                <w:szCs w:val="17"/>
                <w:color w:val="auto"/>
              </w:rPr>
            </w:pPr>
          </w:p>
        </w:tc>
      </w:tr>
      <w:tr>
        <w:trPr>
          <w:trHeight w:val="271"/>
        </w:trPr>
        <w:tc>
          <w:tcPr>
            <w:tcW w:w="162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asset</w:t>
            </w:r>
          </w:p>
        </w:tc>
        <w:tc>
          <w:tcPr>
            <w:tcW w:w="60" w:type="dxa"/>
            <w:vAlign w:val="bottom"/>
            <w:tcBorders>
              <w:bottom w:val="single" w:sz="8" w:color="CBDBD1"/>
            </w:tcBorders>
            <w:shd w:val="clear" w:color="auto" w:fill="CBDBD1"/>
          </w:tcPr>
          <w:p>
            <w:pPr>
              <w:spacing w:after="0"/>
              <w:rPr>
                <w:sz w:val="23"/>
                <w:szCs w:val="23"/>
                <w:color w:val="auto"/>
              </w:rPr>
            </w:pPr>
          </w:p>
        </w:tc>
        <w:tc>
          <w:tcPr>
            <w:tcW w:w="300" w:type="dxa"/>
            <w:vAlign w:val="bottom"/>
            <w:tcBorders>
              <w:bottom w:val="single" w:sz="8" w:color="auto"/>
            </w:tcBorders>
            <w:shd w:val="clear" w:color="auto" w:fill="CBDBD1"/>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BDBD1"/>
            </w:tcBorders>
            <w:shd w:val="clear" w:color="auto" w:fill="CBDBD1"/>
          </w:tcPr>
          <w:p>
            <w:pPr>
              <w:spacing w:after="0"/>
              <w:rPr>
                <w:sz w:val="23"/>
                <w:szCs w:val="23"/>
                <w:color w:val="auto"/>
              </w:rPr>
            </w:pPr>
          </w:p>
        </w:tc>
        <w:tc>
          <w:tcPr>
            <w:tcW w:w="40" w:type="dxa"/>
            <w:vAlign w:val="bottom"/>
            <w:tcBorders>
              <w:bottom w:val="single" w:sz="8" w:color="CBDBD1"/>
            </w:tcBorders>
            <w:shd w:val="clear" w:color="auto" w:fill="CBDBD1"/>
          </w:tcPr>
          <w:p>
            <w:pPr>
              <w:spacing w:after="0"/>
              <w:rPr>
                <w:sz w:val="23"/>
                <w:szCs w:val="23"/>
                <w:color w:val="auto"/>
              </w:rPr>
            </w:pPr>
          </w:p>
        </w:tc>
        <w:tc>
          <w:tcPr>
            <w:tcW w:w="240" w:type="dxa"/>
            <w:vAlign w:val="bottom"/>
            <w:tcBorders>
              <w:bottom w:val="single" w:sz="8" w:color="auto"/>
            </w:tcBorders>
            <w:shd w:val="clear" w:color="auto" w:fill="CBDBD1"/>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Maddox Ungar Silberstein,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www.maddoxungar.com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Maddox Ungar Silberstein, PLLC hereby consents to the use in the Form 10-K, Annual Report under Section 13 or 15(d) of the Securities Exchange Act of 1934, filed by OptimizeRx Corporation of our report dated April 10, 2009, relating to the consolidated financial statements of OptimizeRx Corporation, a Nevada Corporation, as of and for the periods ending December 31,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ectPr>
          <w:pgSz w:w="11900" w:h="16838" w:orient="portrait"/>
          <w:cols w:equalWidth="0" w:num="1">
            <w:col w:w="11420"/>
          </w:cols>
          <w:pgMar w:left="240" w:top="12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52" w:lineRule="exact"/>
        <w:rPr>
          <w:sz w:val="20"/>
          <w:szCs w:val="20"/>
          <w:color w:val="auto"/>
        </w:rPr>
      </w:pPr>
    </w:p>
    <w:p>
      <w:pPr>
        <w:ind w:left="500" w:hanging="23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2008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7"/>
          <w:szCs w:val="17"/>
          <w:color w:val="auto"/>
        </w:rPr>
        <w:t>David Lester</w:t>
      </w:r>
      <w:r>
        <w:rPr>
          <w:rFonts w:ascii="Arial" w:cs="Arial" w:eastAsia="Arial" w:hAnsi="Arial"/>
          <w:sz w:val="22"/>
          <w:szCs w:val="22"/>
          <w:color w:val="auto"/>
        </w:rPr>
        <w:t>, certify that;</w:t>
      </w:r>
    </w:p>
    <w:p>
      <w:pPr>
        <w:spacing w:after="0" w:line="240" w:lineRule="exact"/>
        <w:rPr>
          <w:sz w:val="20"/>
          <w:szCs w:val="20"/>
          <w:color w:val="auto"/>
        </w:rPr>
      </w:pPr>
    </w:p>
    <w:p>
      <w:pPr>
        <w:ind w:left="500" w:hanging="231"/>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for the year ended December 31, 2008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Annual Report of OptimizeRx Corporation (the “Company”) on Form 10-K for the year ended December 31, 2008 filed with the Securities and Exchange Commission (the “Report”), I, David Lester,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/s/David Lester</w:t>
            </w:r>
          </w:p>
        </w:tc>
        <w:tc>
          <w:tcPr>
            <w:tcW w:w="2880" w:type="dxa"/>
            <w:vAlign w:val="bottom"/>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 Principal Financial Officer</w:t>
            </w:r>
          </w:p>
        </w:tc>
      </w:tr>
      <w:tr>
        <w:trPr>
          <w:trHeight w:val="230"/>
        </w:trPr>
        <w:tc>
          <w:tcPr>
            <w:tcW w:w="104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and Director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gridSpan w:val="2"/>
          </w:tcPr>
          <w:p>
            <w:pPr>
              <w:spacing w:after="0"/>
              <w:rPr>
                <w:sz w:val="20"/>
                <w:szCs w:val="20"/>
                <w:color w:val="auto"/>
              </w:rPr>
            </w:pPr>
            <w:r>
              <w:rPr>
                <w:rFonts w:ascii="Arial" w:cs="Arial" w:eastAsia="Arial" w:hAnsi="Arial"/>
                <w:sz w:val="18"/>
                <w:szCs w:val="18"/>
                <w:color w:val="auto"/>
              </w:rPr>
              <w:t>April 15, 2009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OptimizeRx Corporation and will be retained by OptimizeRx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o"/>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2019-12-11T03:52:27Z</dcterms:created>
  <dcterms:modified xsi:type="dcterms:W3CDTF">2019-12-11T03:52:27Z</dcterms:modified>
</cp:coreProperties>
</file>