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ACT OF 1933</w:t>
      </w:r>
    </w:p>
    <w:p>
      <w:pPr>
        <w:spacing w:after="0" w:line="207" w:lineRule="exact"/>
        <w:rPr>
          <w:sz w:val="24"/>
          <w:szCs w:val="24"/>
          <w:color w:val="auto"/>
        </w:rPr>
      </w:pPr>
    </w:p>
    <w:p>
      <w:pPr>
        <w:ind w:left="4740"/>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Nevada</w:t>
            </w:r>
          </w:p>
        </w:tc>
        <w:tc>
          <w:tcPr>
            <w:tcW w:w="27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26-1265381</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8"/>
                <w:szCs w:val="18"/>
                <w:color w:val="auto"/>
                <w:w w:val="89"/>
              </w:rPr>
              <w:t>(State or other jurisdiction</w:t>
            </w: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vMerge w:val="continue"/>
          </w:tcPr>
          <w:p>
            <w:pPr>
              <w:spacing w:after="0"/>
              <w:rPr>
                <w:sz w:val="19"/>
                <w:szCs w:val="19"/>
                <w:color w:val="auto"/>
              </w:rPr>
            </w:pPr>
          </w:p>
        </w:tc>
        <w:tc>
          <w:tcPr>
            <w:tcW w:w="4600" w:type="dxa"/>
            <w:vAlign w:val="bottom"/>
            <w:gridSpan w:val="4"/>
          </w:tcPr>
          <w:p>
            <w:pPr>
              <w:ind w:left="80"/>
              <w:spacing w:after="0"/>
              <w:rPr>
                <w:sz w:val="20"/>
                <w:szCs w:val="20"/>
                <w:color w:val="auto"/>
              </w:rPr>
            </w:pPr>
            <w:r>
              <w:rPr>
                <w:rFonts w:ascii="Arial" w:cs="Arial" w:eastAsia="Arial" w:hAnsi="Arial"/>
                <w:sz w:val="18"/>
                <w:szCs w:val="18"/>
                <w:color w:val="auto"/>
              </w:rPr>
              <w:t>of incorporation or organization)</w:t>
            </w:r>
          </w:p>
        </w:tc>
        <w:tc>
          <w:tcPr>
            <w:tcW w:w="272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00"/>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1"/>
              </w:rPr>
              <w:t>400 Water Street, Suite 200</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60" w:type="dxa"/>
            <w:vAlign w:val="bottom"/>
            <w:gridSpan w:val="2"/>
          </w:tcPr>
          <w:p>
            <w:pPr>
              <w:jc w:val="center"/>
              <w:ind w:right="780"/>
              <w:spacing w:after="0" w:line="194" w:lineRule="exact"/>
              <w:rPr>
                <w:sz w:val="20"/>
                <w:szCs w:val="20"/>
                <w:color w:val="auto"/>
              </w:rPr>
            </w:pPr>
            <w:r>
              <w:rPr>
                <w:rFonts w:ascii="Arial" w:cs="Arial" w:eastAsia="Arial" w:hAnsi="Arial"/>
                <w:sz w:val="18"/>
                <w:szCs w:val="18"/>
                <w:b w:val="1"/>
                <w:bCs w:val="1"/>
                <w:color w:val="auto"/>
                <w:w w:val="91"/>
              </w:rPr>
              <w:t>Rochester, MI 48307</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OptimizeRx Corporation 2013 Incentive Plan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Cane Clark Agency, LLC</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3273 E. Warm Springs, Rd.</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Las Vegas, NV 89120</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Cane Clark,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Attn: Scott Doney,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Telephone: (702) 312-6255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Facsimile: (702) 944-7100</w:t>
      </w:r>
    </w:p>
    <w:p>
      <w:pPr>
        <w:spacing w:after="0" w:line="211"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 an accelerated file, a non-accelerated file,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 ] Large accelerated filer</w:t>
            </w:r>
          </w:p>
        </w:tc>
        <w:tc>
          <w:tcPr>
            <w:tcW w:w="3920" w:type="dxa"/>
            <w:vAlign w:val="bottom"/>
            <w:gridSpan w:val="2"/>
          </w:tcPr>
          <w:p>
            <w:pPr>
              <w:ind w:left="2160"/>
              <w:spacing w:after="0"/>
              <w:rPr>
                <w:sz w:val="20"/>
                <w:szCs w:val="20"/>
                <w:color w:val="auto"/>
              </w:rPr>
            </w:pPr>
            <w:r>
              <w:rPr>
                <w:rFonts w:ascii="Arial" w:cs="Arial" w:eastAsia="Arial" w:hAnsi="Arial"/>
                <w:sz w:val="18"/>
                <w:szCs w:val="18"/>
                <w:color w:val="auto"/>
              </w:rPr>
              <w:t>[ ] Accelerated filer</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 ] Non-accelerated filer</w:t>
            </w:r>
          </w:p>
        </w:tc>
        <w:tc>
          <w:tcPr>
            <w:tcW w:w="5360" w:type="dxa"/>
            <w:vAlign w:val="bottom"/>
            <w:gridSpan w:val="3"/>
          </w:tcPr>
          <w:p>
            <w:pPr>
              <w:ind w:left="2160"/>
              <w:spacing w:after="0"/>
              <w:rPr>
                <w:sz w:val="20"/>
                <w:szCs w:val="20"/>
                <w:color w:val="auto"/>
              </w:rPr>
            </w:pPr>
            <w:r>
              <w:rPr>
                <w:rFonts w:ascii="Arial" w:cs="Arial" w:eastAsia="Arial" w:hAnsi="Arial"/>
                <w:sz w:val="18"/>
                <w:szCs w:val="18"/>
                <w:color w:val="auto"/>
              </w:rPr>
              <w:t>[X] Smaller reporting company</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920" w:type="dxa"/>
            <w:vAlign w:val="bottom"/>
            <w:gridSpan w:val="2"/>
          </w:tcPr>
          <w:p>
            <w:pPr>
              <w:ind w:left="8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ALCULATION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0" w:type="dxa"/>
            <w:vAlign w:val="bottom"/>
            <w:vMerge w:val="restart"/>
          </w:tcPr>
          <w:p>
            <w:pPr>
              <w:jc w:val="center"/>
              <w:ind w:right="30"/>
              <w:spacing w:after="0"/>
              <w:rPr>
                <w:sz w:val="20"/>
                <w:szCs w:val="20"/>
                <w:color w:val="auto"/>
              </w:rPr>
            </w:pPr>
            <w:r>
              <w:rPr>
                <w:rFonts w:ascii="Arial" w:cs="Arial" w:eastAsia="Arial" w:hAnsi="Arial"/>
                <w:sz w:val="18"/>
                <w:szCs w:val="18"/>
                <w:color w:val="auto"/>
                <w:w w:val="88"/>
              </w:rPr>
              <w:t>Proposed</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85"/>
              </w:rPr>
              <w:t>Proposed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4"/>
              </w:rPr>
              <w:t>maximum</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Title of</w:t>
            </w:r>
          </w:p>
        </w:tc>
        <w:tc>
          <w:tcPr>
            <w:tcW w:w="2520" w:type="dxa"/>
            <w:vAlign w:val="bottom"/>
          </w:tcPr>
          <w:p>
            <w:pPr>
              <w:jc w:val="center"/>
              <w:ind w:left="410"/>
              <w:spacing w:after="0"/>
              <w:rPr>
                <w:sz w:val="20"/>
                <w:szCs w:val="20"/>
                <w:color w:val="auto"/>
              </w:rPr>
            </w:pPr>
            <w:r>
              <w:rPr>
                <w:rFonts w:ascii="Arial" w:cs="Arial" w:eastAsia="Arial" w:hAnsi="Arial"/>
                <w:sz w:val="18"/>
                <w:szCs w:val="18"/>
                <w:color w:val="auto"/>
                <w:w w:val="93"/>
              </w:rPr>
              <w:t>Amount</w:t>
            </w:r>
          </w:p>
        </w:tc>
        <w:tc>
          <w:tcPr>
            <w:tcW w:w="1400" w:type="dxa"/>
            <w:vAlign w:val="bottom"/>
          </w:tcPr>
          <w:p>
            <w:pPr>
              <w:jc w:val="center"/>
              <w:ind w:right="30"/>
              <w:spacing w:after="0"/>
              <w:rPr>
                <w:sz w:val="20"/>
                <w:szCs w:val="20"/>
                <w:color w:val="auto"/>
              </w:rPr>
            </w:pPr>
            <w:r>
              <w:rPr>
                <w:rFonts w:ascii="Arial" w:cs="Arial" w:eastAsia="Arial" w:hAnsi="Arial"/>
                <w:sz w:val="18"/>
                <w:szCs w:val="18"/>
                <w:color w:val="auto"/>
                <w:w w:val="92"/>
              </w:rPr>
              <w:t>maximum</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86"/>
              </w:rPr>
              <w:t>aggregate</w:t>
            </w: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9"/>
        </w:trPr>
        <w:tc>
          <w:tcPr>
            <w:tcW w:w="106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each class of securities</w:t>
            </w:r>
          </w:p>
        </w:tc>
        <w:tc>
          <w:tcPr>
            <w:tcW w:w="2520" w:type="dxa"/>
            <w:vAlign w:val="bottom"/>
          </w:tcPr>
          <w:p>
            <w:pPr>
              <w:jc w:val="center"/>
              <w:ind w:left="430"/>
              <w:spacing w:after="0"/>
              <w:rPr>
                <w:sz w:val="20"/>
                <w:szCs w:val="20"/>
                <w:color w:val="auto"/>
              </w:rPr>
            </w:pPr>
            <w:r>
              <w:rPr>
                <w:rFonts w:ascii="Arial" w:cs="Arial" w:eastAsia="Arial" w:hAnsi="Arial"/>
                <w:sz w:val="18"/>
                <w:szCs w:val="18"/>
                <w:color w:val="auto"/>
                <w:w w:val="89"/>
              </w:rPr>
              <w:t>to be</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4"/>
              </w:rPr>
              <w:t>offering price</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6"/>
              </w:rPr>
              <w:t>offering</w:t>
            </w: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2"/>
              </w:rPr>
              <w:t>registration</w:t>
            </w:r>
          </w:p>
        </w:tc>
        <w:tc>
          <w:tcPr>
            <w:tcW w:w="0" w:type="dxa"/>
            <w:vAlign w:val="bottom"/>
          </w:tcPr>
          <w:p>
            <w:pPr>
              <w:spacing w:after="0"/>
              <w:rPr>
                <w:sz w:val="1"/>
                <w:szCs w:val="1"/>
                <w:color w:val="auto"/>
              </w:rPr>
            </w:pPr>
          </w:p>
        </w:tc>
      </w:tr>
      <w:tr>
        <w:trPr>
          <w:trHeight w:val="335"/>
        </w:trPr>
        <w:tc>
          <w:tcPr>
            <w:tcW w:w="1060" w:type="dxa"/>
            <w:vAlign w:val="bottom"/>
          </w:tcPr>
          <w:p>
            <w:pPr>
              <w:spacing w:after="0"/>
              <w:rPr>
                <w:sz w:val="24"/>
                <w:szCs w:val="24"/>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to be registered</w:t>
            </w:r>
          </w:p>
        </w:tc>
        <w:tc>
          <w:tcPr>
            <w:tcW w:w="2520" w:type="dxa"/>
            <w:vAlign w:val="bottom"/>
          </w:tcPr>
          <w:p>
            <w:pPr>
              <w:jc w:val="center"/>
              <w:ind w:left="410"/>
              <w:spacing w:after="0" w:line="334" w:lineRule="exact"/>
              <w:rPr>
                <w:sz w:val="20"/>
                <w:szCs w:val="20"/>
                <w:color w:val="auto"/>
              </w:rPr>
            </w:pPr>
            <w:r>
              <w:rPr>
                <w:rFonts w:ascii="Arial" w:cs="Arial" w:eastAsia="Arial" w:hAnsi="Arial"/>
                <w:sz w:val="18"/>
                <w:szCs w:val="18"/>
                <w:color w:val="auto"/>
                <w:w w:val="85"/>
              </w:rPr>
              <w:t xml:space="preserve">registered </w:t>
            </w:r>
            <w:r>
              <w:rPr>
                <w:rFonts w:ascii="Arial" w:cs="Arial" w:eastAsia="Arial" w:hAnsi="Arial"/>
                <w:sz w:val="30"/>
                <w:szCs w:val="30"/>
                <w:color w:val="auto"/>
                <w:w w:val="85"/>
                <w:vertAlign w:val="superscript"/>
              </w:rPr>
              <w:t>(1)</w:t>
            </w:r>
          </w:p>
        </w:tc>
        <w:tc>
          <w:tcPr>
            <w:tcW w:w="1400" w:type="dxa"/>
            <w:vAlign w:val="bottom"/>
          </w:tcPr>
          <w:p>
            <w:pPr>
              <w:jc w:val="center"/>
              <w:ind w:right="30"/>
              <w:spacing w:after="0" w:line="334" w:lineRule="exact"/>
              <w:rPr>
                <w:sz w:val="20"/>
                <w:szCs w:val="20"/>
                <w:color w:val="auto"/>
              </w:rPr>
            </w:pPr>
            <w:r>
              <w:rPr>
                <w:rFonts w:ascii="Arial" w:cs="Arial" w:eastAsia="Arial" w:hAnsi="Arial"/>
                <w:sz w:val="18"/>
                <w:szCs w:val="18"/>
                <w:color w:val="auto"/>
                <w:w w:val="83"/>
              </w:rPr>
              <w:t xml:space="preserve">per share </w:t>
            </w:r>
            <w:r>
              <w:rPr>
                <w:rFonts w:ascii="Arial" w:cs="Arial" w:eastAsia="Arial" w:hAnsi="Arial"/>
                <w:sz w:val="30"/>
                <w:szCs w:val="30"/>
                <w:color w:val="auto"/>
                <w:w w:val="83"/>
                <w:vertAlign w:val="superscript"/>
              </w:rPr>
              <w:t>(3)</w:t>
            </w: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2"/>
              </w:rPr>
              <w:t>price</w:t>
            </w: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87"/>
              </w:rPr>
              <w:t>fee</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2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Common Stock</w:t>
            </w:r>
          </w:p>
        </w:tc>
        <w:tc>
          <w:tcPr>
            <w:tcW w:w="2520" w:type="dxa"/>
            <w:vAlign w:val="bottom"/>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1,500,000</w:t>
            </w:r>
            <w:r>
              <w:rPr>
                <w:rFonts w:ascii="Arial" w:cs="Arial" w:eastAsia="Arial" w:hAnsi="Arial"/>
                <w:sz w:val="30"/>
                <w:szCs w:val="30"/>
                <w:color w:val="auto"/>
                <w:vertAlign w:val="superscript"/>
              </w:rPr>
              <w:t>(2)</w:t>
            </w:r>
          </w:p>
        </w:tc>
        <w:tc>
          <w:tcPr>
            <w:tcW w:w="1400" w:type="dxa"/>
            <w:vAlign w:val="bottom"/>
            <w:vMerge w:val="restart"/>
            <w:shd w:val="clear" w:color="auto" w:fill="CCFFCC"/>
          </w:tcPr>
          <w:p>
            <w:pPr>
              <w:jc w:val="center"/>
              <w:ind w:right="30"/>
              <w:spacing w:after="0"/>
              <w:rPr>
                <w:sz w:val="20"/>
                <w:szCs w:val="20"/>
                <w:color w:val="auto"/>
              </w:rPr>
            </w:pPr>
            <w:r>
              <w:rPr>
                <w:rFonts w:ascii="Arial" w:cs="Arial" w:eastAsia="Arial" w:hAnsi="Arial"/>
                <w:sz w:val="18"/>
                <w:szCs w:val="18"/>
                <w:color w:val="auto"/>
                <w:w w:val="88"/>
              </w:rPr>
              <w:t>$1.66</w:t>
            </w:r>
          </w:p>
        </w:tc>
        <w:tc>
          <w:tcPr>
            <w:tcW w:w="1440" w:type="dxa"/>
            <w:vAlign w:val="bottom"/>
            <w:vMerge w:val="restart"/>
            <w:shd w:val="clear" w:color="auto" w:fill="CCFFCC"/>
          </w:tcPr>
          <w:p>
            <w:pPr>
              <w:jc w:val="right"/>
              <w:ind w:right="90"/>
              <w:spacing w:after="0"/>
              <w:rPr>
                <w:sz w:val="20"/>
                <w:szCs w:val="20"/>
                <w:color w:val="auto"/>
              </w:rPr>
            </w:pPr>
            <w:r>
              <w:rPr>
                <w:rFonts w:ascii="Arial" w:cs="Arial" w:eastAsia="Arial" w:hAnsi="Arial"/>
                <w:sz w:val="18"/>
                <w:szCs w:val="18"/>
                <w:color w:val="auto"/>
              </w:rPr>
              <w:t>$2,490,000</w:t>
            </w:r>
          </w:p>
        </w:tc>
        <w:tc>
          <w:tcPr>
            <w:tcW w:w="126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98"/>
        </w:trPr>
        <w:tc>
          <w:tcPr>
            <w:tcW w:w="1060" w:type="dxa"/>
            <w:vAlign w:val="bottom"/>
          </w:tcPr>
          <w:p>
            <w:pPr>
              <w:spacing w:after="0"/>
              <w:rPr>
                <w:sz w:val="24"/>
                <w:szCs w:val="24"/>
                <w:color w:val="auto"/>
              </w:rPr>
            </w:pPr>
          </w:p>
        </w:tc>
        <w:tc>
          <w:tcPr>
            <w:tcW w:w="2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$0.001 par value</w:t>
            </w:r>
          </w:p>
        </w:tc>
        <w:tc>
          <w:tcPr>
            <w:tcW w:w="2520" w:type="dxa"/>
            <w:vAlign w:val="bottom"/>
            <w:vMerge w:val="continue"/>
            <w:shd w:val="clear" w:color="auto" w:fill="CCFFCC"/>
          </w:tcPr>
          <w:p>
            <w:pPr>
              <w:spacing w:after="0"/>
              <w:rPr>
                <w:sz w:val="24"/>
                <w:szCs w:val="24"/>
                <w:color w:val="auto"/>
              </w:rPr>
            </w:pPr>
          </w:p>
        </w:tc>
        <w:tc>
          <w:tcPr>
            <w:tcW w:w="1400" w:type="dxa"/>
            <w:vAlign w:val="bottom"/>
            <w:vMerge w:val="continue"/>
            <w:shd w:val="clear" w:color="auto" w:fill="CCFFCC"/>
          </w:tcPr>
          <w:p>
            <w:pPr>
              <w:spacing w:after="0"/>
              <w:rPr>
                <w:sz w:val="24"/>
                <w:szCs w:val="24"/>
                <w:color w:val="auto"/>
              </w:rPr>
            </w:pPr>
          </w:p>
        </w:tc>
        <w:tc>
          <w:tcPr>
            <w:tcW w:w="1440" w:type="dxa"/>
            <w:vAlign w:val="bottom"/>
            <w:vMerge w:val="continue"/>
            <w:shd w:val="clear" w:color="auto" w:fill="CCFFCC"/>
          </w:tcPr>
          <w:p>
            <w:pPr>
              <w:spacing w:after="0"/>
              <w:rPr>
                <w:sz w:val="24"/>
                <w:szCs w:val="24"/>
                <w:color w:val="auto"/>
              </w:rPr>
            </w:pPr>
          </w:p>
        </w:tc>
        <w:tc>
          <w:tcPr>
            <w:tcW w:w="1260" w:type="dxa"/>
            <w:vAlign w:val="bottom"/>
            <w:vMerge w:val="continue"/>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5" w:lineRule="exact"/>
        <w:rPr>
          <w:sz w:val="24"/>
          <w:szCs w:val="24"/>
          <w:color w:val="auto"/>
        </w:rPr>
      </w:pPr>
    </w:p>
    <w:p>
      <w:pPr>
        <w:ind w:left="340" w:hanging="332"/>
        <w:spacing w:after="0" w:line="274"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6"/>
          <w:szCs w:val="16"/>
          <w:color w:val="auto"/>
        </w:rPr>
        <w:t>Pursuant to Rule 416 of the Securities Act of 1933, as amended, this registration statement also registers such indeterminate number of additional shares of common stock that may be offered pursuant to the anti-dilution provisions set forth in the OptimizeRx Corporation 2013 Incentive Plan.</w:t>
      </w:r>
    </w:p>
    <w:p>
      <w:pPr>
        <w:spacing w:after="0" w:line="1" w:lineRule="exact"/>
        <w:rPr>
          <w:rFonts w:ascii="Arial" w:cs="Arial" w:eastAsia="Arial" w:hAnsi="Arial"/>
          <w:sz w:val="13"/>
          <w:szCs w:val="13"/>
          <w:color w:val="auto"/>
        </w:rPr>
      </w:pPr>
    </w:p>
    <w:p>
      <w:pPr>
        <w:ind w:left="340" w:right="120" w:hanging="332"/>
        <w:spacing w:after="0" w:line="234"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8"/>
          <w:szCs w:val="18"/>
          <w:color w:val="auto"/>
        </w:rPr>
        <w:t>Represents shares of common stock reserved for issuance to certain employees, non-employee members of the Company’s Board of Directors and consultants of the Company upon the exercise of stock options and grant of stock awards that may be granted under the OptimizeRx Corporation 2013 Incentive Plan.</w:t>
      </w:r>
    </w:p>
    <w:p>
      <w:pPr>
        <w:spacing w:after="0" w:line="2" w:lineRule="exact"/>
        <w:rPr>
          <w:rFonts w:ascii="Arial" w:cs="Arial" w:eastAsia="Arial" w:hAnsi="Arial"/>
          <w:sz w:val="15"/>
          <w:szCs w:val="15"/>
          <w:color w:val="auto"/>
        </w:rPr>
      </w:pPr>
    </w:p>
    <w:p>
      <w:pPr>
        <w:ind w:left="340" w:right="100" w:hanging="332"/>
        <w:spacing w:after="0" w:line="239"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8"/>
          <w:szCs w:val="18"/>
          <w:color w:val="auto"/>
        </w:rPr>
        <w:t>Estimated solely for the purpose of calculating the registration fee. Pursuant to Rule 457(c) under the Securities Act, the proposed maximum offering price per share and the proposed maximum aggregate offering price have been determined on the basis of the average of the bid and asked price as of a specified date within five business days prior to the date of filing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right"/>
        <w:ind w:right="37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27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II</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3. I</w:t>
        </w:r>
        <w:r>
          <w:rPr>
            <w:rFonts w:ascii="Arial" w:cs="Arial" w:eastAsia="Arial" w:hAnsi="Arial"/>
            <w:sz w:val="12"/>
            <w:szCs w:val="12"/>
            <w:b w:val="1"/>
            <w:bCs w:val="1"/>
            <w:u w:val="single" w:color="auto"/>
            <w:color w:val="0000EE"/>
          </w:rPr>
          <w:t>NCORPORATION OF</w:t>
        </w:r>
        <w:r>
          <w:rPr>
            <w:rFonts w:ascii="Arial" w:cs="Arial" w:eastAsia="Arial" w:hAnsi="Arial"/>
            <w:sz w:val="18"/>
            <w:szCs w:val="18"/>
            <w:b w:val="1"/>
            <w:bCs w:val="1"/>
            <w:u w:val="single" w:color="auto"/>
            <w:color w:val="0000EE"/>
          </w:rPr>
          <w:t xml:space="preserve"> D</w:t>
        </w:r>
        <w:r>
          <w:rPr>
            <w:rFonts w:ascii="Arial" w:cs="Arial" w:eastAsia="Arial" w:hAnsi="Arial"/>
            <w:sz w:val="12"/>
            <w:szCs w:val="12"/>
            <w:b w:val="1"/>
            <w:bCs w:val="1"/>
            <w:u w:val="single" w:color="auto"/>
            <w:color w:val="0000EE"/>
          </w:rPr>
          <w:t>OCUMENTS BY</w:t>
        </w:r>
        <w:r>
          <w:rPr>
            <w:rFonts w:ascii="Arial" w:cs="Arial" w:eastAsia="Arial" w:hAnsi="Arial"/>
            <w:sz w:val="18"/>
            <w:szCs w:val="18"/>
            <w:b w:val="1"/>
            <w:bCs w:val="1"/>
            <w:u w:val="single" w:color="auto"/>
            <w:color w:val="0000EE"/>
          </w:rPr>
          <w:t xml:space="preserve"> R</w:t>
        </w:r>
        <w:r>
          <w:rPr>
            <w:rFonts w:ascii="Arial" w:cs="Arial" w:eastAsia="Arial" w:hAnsi="Arial"/>
            <w:sz w:val="12"/>
            <w:szCs w:val="12"/>
            <w:b w:val="1"/>
            <w:bCs w:val="1"/>
            <w:u w:val="single" w:color="auto"/>
            <w:color w:val="0000EE"/>
          </w:rPr>
          <w:t>EFERENCE</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4. D</w:t>
        </w:r>
        <w:r>
          <w:rPr>
            <w:rFonts w:ascii="Arial" w:cs="Arial" w:eastAsia="Arial" w:hAnsi="Arial"/>
            <w:sz w:val="12"/>
            <w:szCs w:val="12"/>
            <w:b w:val="1"/>
            <w:bCs w:val="1"/>
            <w:u w:val="single" w:color="auto"/>
            <w:color w:val="0000EE"/>
          </w:rPr>
          <w:t>ESCRIPTION OF</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ECURITIES</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5. I</w:t>
        </w:r>
        <w:r>
          <w:rPr>
            <w:rFonts w:ascii="Arial" w:cs="Arial" w:eastAsia="Arial" w:hAnsi="Arial"/>
            <w:sz w:val="12"/>
            <w:szCs w:val="12"/>
            <w:b w:val="1"/>
            <w:bCs w:val="1"/>
            <w:u w:val="single" w:color="auto"/>
            <w:color w:val="0000EE"/>
          </w:rPr>
          <w:t>NTERESTS OF</w:t>
        </w:r>
        <w:r>
          <w:rPr>
            <w:rFonts w:ascii="Arial" w:cs="Arial" w:eastAsia="Arial" w:hAnsi="Arial"/>
            <w:sz w:val="18"/>
            <w:szCs w:val="18"/>
            <w:b w:val="1"/>
            <w:bCs w:val="1"/>
            <w:u w:val="single" w:color="auto"/>
            <w:color w:val="0000EE"/>
          </w:rPr>
          <w:t xml:space="preserve"> N</w:t>
        </w:r>
        <w:r>
          <w:rPr>
            <w:rFonts w:ascii="Arial" w:cs="Arial" w:eastAsia="Arial" w:hAnsi="Arial"/>
            <w:sz w:val="12"/>
            <w:szCs w:val="12"/>
            <w:b w:val="1"/>
            <w:bCs w:val="1"/>
            <w:u w:val="single" w:color="auto"/>
            <w:color w:val="0000EE"/>
          </w:rPr>
          <w:t>AMED</w:t>
        </w:r>
        <w:r>
          <w:rPr>
            <w:rFonts w:ascii="Arial" w:cs="Arial" w:eastAsia="Arial" w:hAnsi="Arial"/>
            <w:sz w:val="18"/>
            <w:szCs w:val="18"/>
            <w:b w:val="1"/>
            <w:bCs w:val="1"/>
            <w:u w:val="single" w:color="auto"/>
            <w:color w:val="0000EE"/>
          </w:rPr>
          <w:t xml:space="preserve"> E</w:t>
        </w:r>
        <w:r>
          <w:rPr>
            <w:rFonts w:ascii="Arial" w:cs="Arial" w:eastAsia="Arial" w:hAnsi="Arial"/>
            <w:sz w:val="12"/>
            <w:szCs w:val="12"/>
            <w:b w:val="1"/>
            <w:bCs w:val="1"/>
            <w:u w:val="single" w:color="auto"/>
            <w:color w:val="0000EE"/>
          </w:rPr>
          <w:t>XPERTS AND</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OUNSEL</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6. I</w:t>
        </w:r>
        <w:r>
          <w:rPr>
            <w:rFonts w:ascii="Arial" w:cs="Arial" w:eastAsia="Arial" w:hAnsi="Arial"/>
            <w:sz w:val="12"/>
            <w:szCs w:val="12"/>
            <w:b w:val="1"/>
            <w:bCs w:val="1"/>
            <w:u w:val="single" w:color="auto"/>
            <w:color w:val="0000EE"/>
          </w:rPr>
          <w:t>NDEMNIFICATION OF</w:t>
        </w:r>
        <w:r>
          <w:rPr>
            <w:rFonts w:ascii="Arial" w:cs="Arial" w:eastAsia="Arial" w:hAnsi="Arial"/>
            <w:sz w:val="18"/>
            <w:szCs w:val="18"/>
            <w:b w:val="1"/>
            <w:bCs w:val="1"/>
            <w:u w:val="single" w:color="auto"/>
            <w:color w:val="0000EE"/>
          </w:rPr>
          <w:t xml:space="preserve"> D</w:t>
        </w:r>
        <w:r>
          <w:rPr>
            <w:rFonts w:ascii="Arial" w:cs="Arial" w:eastAsia="Arial" w:hAnsi="Arial"/>
            <w:sz w:val="12"/>
            <w:szCs w:val="12"/>
            <w:b w:val="1"/>
            <w:bCs w:val="1"/>
            <w:u w:val="single" w:color="auto"/>
            <w:color w:val="0000EE"/>
          </w:rPr>
          <w:t>IRECTORS AND</w:t>
        </w:r>
        <w:r>
          <w:rPr>
            <w:rFonts w:ascii="Arial" w:cs="Arial" w:eastAsia="Arial" w:hAnsi="Arial"/>
            <w:sz w:val="18"/>
            <w:szCs w:val="18"/>
            <w:b w:val="1"/>
            <w:bCs w:val="1"/>
            <w:u w:val="single" w:color="auto"/>
            <w:color w:val="0000EE"/>
          </w:rPr>
          <w:t xml:space="preserve"> O</w:t>
        </w:r>
        <w:r>
          <w:rPr>
            <w:rFonts w:ascii="Arial" w:cs="Arial" w:eastAsia="Arial" w:hAnsi="Arial"/>
            <w:sz w:val="12"/>
            <w:szCs w:val="12"/>
            <w:b w:val="1"/>
            <w:bCs w:val="1"/>
            <w:u w:val="single" w:color="auto"/>
            <w:color w:val="0000EE"/>
          </w:rPr>
          <w:t>FFICERS</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7. E</w:t>
        </w:r>
        <w:r>
          <w:rPr>
            <w:rFonts w:ascii="Arial" w:cs="Arial" w:eastAsia="Arial" w:hAnsi="Arial"/>
            <w:sz w:val="12"/>
            <w:szCs w:val="12"/>
            <w:b w:val="1"/>
            <w:bCs w:val="1"/>
            <w:u w:val="single" w:color="auto"/>
            <w:color w:val="0000EE"/>
          </w:rPr>
          <w:t>XEMPTION FROM</w:t>
        </w:r>
        <w:r>
          <w:rPr>
            <w:rFonts w:ascii="Arial" w:cs="Arial" w:eastAsia="Arial" w:hAnsi="Arial"/>
            <w:sz w:val="18"/>
            <w:szCs w:val="18"/>
            <w:b w:val="1"/>
            <w:bCs w:val="1"/>
            <w:u w:val="single" w:color="auto"/>
            <w:color w:val="0000EE"/>
          </w:rPr>
          <w:t xml:space="preserve"> R</w:t>
        </w:r>
        <w:r>
          <w:rPr>
            <w:rFonts w:ascii="Arial" w:cs="Arial" w:eastAsia="Arial" w:hAnsi="Arial"/>
            <w:sz w:val="12"/>
            <w:szCs w:val="12"/>
            <w:b w:val="1"/>
            <w:bCs w:val="1"/>
            <w:u w:val="single" w:color="auto"/>
            <w:color w:val="0000EE"/>
          </w:rPr>
          <w:t>EGISTRATION</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LAIMED</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8. E</w:t>
        </w:r>
        <w:r>
          <w:rPr>
            <w:rFonts w:ascii="Arial" w:cs="Arial" w:eastAsia="Arial" w:hAnsi="Arial"/>
            <w:sz w:val="12"/>
            <w:szCs w:val="12"/>
            <w:b w:val="1"/>
            <w:bCs w:val="1"/>
            <w:u w:val="single" w:color="auto"/>
            <w:color w:val="0000EE"/>
          </w:rPr>
          <w:t>XHIBITS</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I</w:t>
        </w:r>
        <w:r>
          <w:rPr>
            <w:rFonts w:ascii="Arial" w:cs="Arial" w:eastAsia="Arial" w:hAnsi="Arial"/>
            <w:sz w:val="12"/>
            <w:szCs w:val="12"/>
            <w:b w:val="1"/>
            <w:bCs w:val="1"/>
            <w:u w:val="single" w:color="auto"/>
            <w:color w:val="0000EE"/>
          </w:rPr>
          <w:t>TEM</w:t>
        </w:r>
        <w:r>
          <w:rPr>
            <w:rFonts w:ascii="Arial" w:cs="Arial" w:eastAsia="Arial" w:hAnsi="Arial"/>
            <w:sz w:val="18"/>
            <w:szCs w:val="18"/>
            <w:b w:val="1"/>
            <w:bCs w:val="1"/>
            <w:u w:val="single" w:color="auto"/>
            <w:color w:val="0000EE"/>
          </w:rPr>
          <w:t xml:space="preserve"> 9. U</w:t>
        </w:r>
        <w:r>
          <w:rPr>
            <w:rFonts w:ascii="Arial" w:cs="Arial" w:eastAsia="Arial" w:hAnsi="Arial"/>
            <w:sz w:val="12"/>
            <w:szCs w:val="12"/>
            <w:b w:val="1"/>
            <w:bCs w:val="1"/>
            <w:u w:val="single" w:color="auto"/>
            <w:color w:val="0000EE"/>
          </w:rPr>
          <w:t>NDERTAKINGS</w:t>
        </w:r>
        <w:r>
          <w:rPr>
            <w:rFonts w:ascii="Arial" w:cs="Arial" w:eastAsia="Arial" w:hAnsi="Arial"/>
            <w:sz w:val="18"/>
            <w:szCs w:val="18"/>
            <w:b w:val="1"/>
            <w:bCs w:val="1"/>
            <w:u w:val="single" w:color="auto"/>
            <w:color w:val="0000EE"/>
          </w:rPr>
          <w:t>.</w:t>
        </w:r>
      </w:hyperlink>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S</w:t>
        </w:r>
        <w:r>
          <w:rPr>
            <w:rFonts w:ascii="Arial" w:cs="Arial" w:eastAsia="Arial" w:hAnsi="Arial"/>
            <w:sz w:val="12"/>
            <w:szCs w:val="12"/>
            <w:b w:val="1"/>
            <w:bCs w:val="1"/>
            <w:u w:val="single" w:color="auto"/>
            <w:color w:val="0000EE"/>
          </w:rPr>
          <w:t>IGNATURES</w:t>
        </w:r>
      </w:hyperlink>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10(A) P</w:t>
      </w:r>
      <w:r>
        <w:rPr>
          <w:rFonts w:ascii="Arial" w:cs="Arial" w:eastAsia="Arial" w:hAnsi="Arial"/>
          <w:sz w:val="12"/>
          <w:szCs w:val="12"/>
          <w:b w:val="1"/>
          <w:bCs w:val="1"/>
          <w:color w:val="auto"/>
        </w:rPr>
        <w:t>ROSPECTUS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documents containing the information specified in Part I will be sent or given to participants in the Plan as specified by Rule 428(b)(1) of the Securities Act of 1933, as amended (the “Securities Act”). In accordance with the instructions of Part I of Form S-8, these documents will not be filed with the Securities and Exchange Commission (the “SEC”) either as part of this Registration Statement or as prospectuses or prospectus supplements pursuant to Rule 424 of the Securities Act. These documents and the documents incorporated by reference pursuant to Item 3 of Part II of this Registration Statement, taken together, constitute the prospectus as required by Section 10(a) of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All requests should be directed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by calling: </w:t>
      </w:r>
      <w:r>
        <w:rPr>
          <w:rFonts w:ascii="Arial" w:cs="Arial" w:eastAsia="Arial" w:hAnsi="Arial"/>
          <w:sz w:val="18"/>
          <w:szCs w:val="18"/>
          <w:b w:val="1"/>
          <w:bCs w:val="1"/>
          <w:color w:val="auto"/>
        </w:rPr>
        <w:t>248-651-6568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information that we file with the SEC. This means that we can disclose important information to you by referring you to those documents. Information incorporated by reference is part of this prospectus. Information that we file at a future date with the SEC will update and supersede this information. For further information about the Company and our common stock, please read the documents incorporated by reference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registration statement:</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12, 2013;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2013, filed with the SEC on May 15,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May 17,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April 8,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March 15,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January 18,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January 11,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December 12,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November 20,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8-K/A filed with the SEC on November 14,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October 4,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February 24,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October 3,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September 21, 2011;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January 24, 2011.</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37" w:right="279" w:bottom="1440" w:gutter="0" w:footer="0" w:header="0"/>
        </w:sectPr>
      </w:pPr>
    </w:p>
    <w:bookmarkStart w:id="3" w:name="page4"/>
    <w:bookmarkEnd w:id="3"/>
    <w:p>
      <w:pPr>
        <w:ind w:firstLine="648"/>
        <w:spacing w:after="0" w:line="272" w:lineRule="auto"/>
        <w:rPr>
          <w:sz w:val="20"/>
          <w:szCs w:val="20"/>
          <w:color w:val="auto"/>
        </w:rPr>
      </w:pPr>
      <w:r>
        <w:rPr>
          <w:rFonts w:ascii="Arial" w:cs="Arial" w:eastAsia="Arial" w:hAnsi="Arial"/>
          <w:sz w:val="17"/>
          <w:szCs w:val="17"/>
          <w:color w:val="auto"/>
        </w:rPr>
        <w:t>Except to the extent that information therein is deemed furnished and not filed pursuant to the Exchange Act, all documents subsequently filed by the registrant under Sections 13(a), 13(c), 14 or 15(d) of the Exchange Act after the effective date of this registration statement and prior to the termination of this offering of common stock shall be deemed to be incorporated by reference into this registration statement and to be a part hereof from the date of filing of those documents. Any statement contained herein or in a document incorporated or deemed to be incorporated by reference herein shall be deemed to be modified or superseded for purposes of this registration statement to the extent that a statement contained herein or in any document which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You may request a copy of these filings, excluding the exhibits to such filings which we have not specifically incorporated by reference in such filings, at no cost, by writing or telephoning us at the address or telephone number listed in Part I.</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authorized capital stock consists of 500,000,000 shares of common stock, with a par value of $0.001 per share, and 10,000,000 shares of preferred stock, with a par value of $0.001 per share. As of March 31, 2013, there were 14,232,496 shares of our common stock issued and outstanding and 65 shares of our preferred stock issued and outstanding.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93"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81"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board of directors is authorized by our articles of incorporation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6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as of December 31, 2012 and undeclared dividends of $175,000 due in February 2013.</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as of December 31, 2012 and undeclared dividends of $75,000 due in February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Laws</w:t>
      </w:r>
    </w:p>
    <w:p>
      <w:pPr>
        <w:spacing w:after="0" w:line="17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it or as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Company or any of its parents or subsidiaries. Nor was any such person connected with the Company or any of its parents or subsidiaries as a promoter, managing or principal underwriter, voting trustee, director, officer, or employee.</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officers and directors are indemnified as provided by the Nevada Revised Statutes and our articles of incorporation and our bylaws.</w:t>
      </w: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Pursuant to our articles of incorporation and our bylaws, we may indemnify any person who was or is a party or is threatened to be made a party to any threatened, pending, or completed action, suit, or proceeding, whether civil, criminal, administrative, or investigative, (other than an action by or in the right of us) by reason of the fact that he is or was a director, officer, employee, fiduciary or agent of the company or is or was serving at the request of us as a director, officer, employee, fiduciary or agent of another corporation, partnership, joint venture, trust, or other enterprise, against expenses (including attorney fees), judgments, fines, and amounts paid in settlement actually and reasonably believed to be in our best interests and, with respect to any criminal action or proceeding, had no reasonable cause to believe his conduct was unlawful. The termination of any action, suit, or proceeding by judgment, order, settlement, or conviction or upon a pleas of nolo contenders or its equivalent shall not of itself create a presumption that the person did not act in good faith and in a manner which he reasonably believed to be in our best interests and, with respect to any criminal action or proceeding, had reasonable cause to believe his conduct was unlawful.</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articles of incorporation and bylaws also provide that we may indemnify any person who was or is a party or is threatened to be made a party to any threatened, pending, or completed action or suit by or in the right of our company or procure a judgment in its favor by reason of the fact that he is or was a director, officer, employee, or agent of our company or is or was serving at our request as a director, officer, employee, fiduciary or agent of another corporation, partnership, joint venture, trust or other enterprise against expenses (including attorney fees) actually and reasonably incurred by him in connection with the defense or settlement of such action or suit if he acted in good faith and in a manner he reasonably believed to be in our best interests: but no indemnification shall be made in respect to any claim, issue, or matter as to which such person has been adjudged to be liable for negligence or misconduct in the performance of his duty to us unless and only to the extent that the court in which such action or suit was brought determines upon application that, despite the adjudication of liability, but in view of all circumstances of the case, such person is fairly and reasonably entitled to indemnification for such expenses which such court deems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3" w:right="239" w:bottom="1440" w:gutter="0" w:footer="0" w:header="0"/>
        </w:sectPr>
      </w:pPr>
    </w:p>
    <w:bookmarkStart w:id="7" w:name="page8"/>
    <w:bookmarkEnd w:id="7"/>
    <w:p>
      <w:pPr>
        <w:ind w:right="80" w:firstLine="648"/>
        <w:spacing w:after="0" w:line="264" w:lineRule="auto"/>
        <w:rPr>
          <w:sz w:val="20"/>
          <w:szCs w:val="20"/>
          <w:color w:val="auto"/>
        </w:rPr>
      </w:pPr>
      <w:r>
        <w:rPr>
          <w:rFonts w:ascii="Arial" w:cs="Arial" w:eastAsia="Arial" w:hAnsi="Arial"/>
          <w:sz w:val="18"/>
          <w:szCs w:val="18"/>
          <w:color w:val="auto"/>
        </w:rPr>
        <w:t>To the extent that a director, officer, employee, fiduciary or agent of a corporation has been successful on the merits in defense of any action, suit, or proceeding referred to in the preceding two paragraphs or in defense of any claim, issue, or matter therein, he shall be indemnified against expenses (including attorney fees) actually and reasonably incurred by him in connection therewith.</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indemnification provided by the provisions described in this section shall not be deemed exclusive of any other rights to which those seeking indemnification may be entitled under our articles of incorporation, the bylaws, agreements, vote of the shareholders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and personal representatives of such a person.</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625" w:right="239" w:bottom="1440" w:gutter="0" w:footer="0" w:header="0"/>
        </w:sectPr>
      </w:pP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Exhibit</w:t>
      </w:r>
    </w:p>
    <w:p>
      <w:pPr>
        <w:spacing w:after="0" w:line="226" w:lineRule="auto"/>
        <w:rPr>
          <w:sz w:val="20"/>
          <w:szCs w:val="20"/>
          <w:color w:val="auto"/>
        </w:rPr>
      </w:pPr>
      <w:r>
        <w:rPr>
          <w:rFonts w:ascii="Arial" w:cs="Arial" w:eastAsia="Arial" w:hAnsi="Arial"/>
          <w:sz w:val="18"/>
          <w:szCs w:val="18"/>
          <w:color w:val="auto"/>
        </w:rPr>
        <w:t xml:space="preserve">Articles of Incorporation, as amended </w:t>
      </w:r>
      <w:r>
        <w:rPr>
          <w:rFonts w:ascii="Arial" w:cs="Arial" w:eastAsia="Arial" w:hAnsi="Arial"/>
          <w:sz w:val="30"/>
          <w:szCs w:val="30"/>
          <w:color w:val="auto"/>
          <w:vertAlign w:val="superscript"/>
        </w:rPr>
        <w:t>(1)</w:t>
      </w:r>
    </w:p>
    <w:p>
      <w:pPr>
        <w:spacing w:after="0" w:line="185" w:lineRule="auto"/>
        <w:rPr>
          <w:sz w:val="20"/>
          <w:szCs w:val="20"/>
          <w:color w:val="auto"/>
        </w:rPr>
      </w:pPr>
      <w:r>
        <w:rPr>
          <w:rFonts w:ascii="Arial" w:cs="Arial" w:eastAsia="Arial" w:hAnsi="Arial"/>
          <w:sz w:val="18"/>
          <w:szCs w:val="18"/>
          <w:color w:val="auto"/>
        </w:rPr>
        <w:t>Amended and Restated By-laws</w:t>
      </w:r>
      <w:r>
        <w:rPr>
          <w:rFonts w:ascii="Arial" w:cs="Arial" w:eastAsia="Arial" w:hAnsi="Arial"/>
          <w:sz w:val="29"/>
          <w:szCs w:val="29"/>
          <w:color w:val="auto"/>
          <w:vertAlign w:val="superscript"/>
        </w:rPr>
        <w:t>(2)</w:t>
      </w:r>
    </w:p>
    <w:p>
      <w:pPr>
        <w:spacing w:after="0" w:line="180" w:lineRule="auto"/>
        <w:rPr>
          <w:sz w:val="20"/>
          <w:szCs w:val="20"/>
          <w:color w:val="auto"/>
        </w:rPr>
      </w:pPr>
      <w:r>
        <w:rPr>
          <w:rFonts w:ascii="Arial" w:cs="Arial" w:eastAsia="Arial" w:hAnsi="Arial"/>
          <w:sz w:val="16"/>
          <w:szCs w:val="16"/>
          <w:color w:val="auto"/>
        </w:rPr>
        <w:t>Certificate of Designation</w:t>
      </w:r>
      <w:r>
        <w:rPr>
          <w:rFonts w:ascii="Arial" w:cs="Arial" w:eastAsia="Arial" w:hAnsi="Arial"/>
          <w:sz w:val="25"/>
          <w:szCs w:val="25"/>
          <w:color w:val="auto"/>
          <w:vertAlign w:val="superscript"/>
        </w:rPr>
        <w:t>(1)</w:t>
      </w:r>
    </w:p>
    <w:p>
      <w:pPr>
        <w:spacing w:after="0" w:line="182" w:lineRule="auto"/>
        <w:rPr>
          <w:sz w:val="20"/>
          <w:szCs w:val="20"/>
          <w:color w:val="auto"/>
        </w:rPr>
      </w:pPr>
      <w:r>
        <w:rPr>
          <w:rFonts w:ascii="Arial" w:cs="Arial" w:eastAsia="Arial" w:hAnsi="Arial"/>
          <w:sz w:val="17"/>
          <w:szCs w:val="17"/>
          <w:color w:val="auto"/>
        </w:rPr>
        <w:t>Certificate of Designation</w:t>
      </w:r>
      <w:r>
        <w:rPr>
          <w:rFonts w:ascii="Arial" w:cs="Arial" w:eastAsia="Arial" w:hAnsi="Arial"/>
          <w:sz w:val="28"/>
          <w:szCs w:val="28"/>
          <w:color w:val="auto"/>
          <w:vertAlign w:val="superscript"/>
        </w:rPr>
        <w:t>(3)</w:t>
      </w:r>
    </w:p>
    <w:p>
      <w:pPr>
        <w:ind w:right="3640"/>
        <w:spacing w:after="0" w:line="239" w:lineRule="auto"/>
        <w:rPr>
          <w:sz w:val="20"/>
          <w:szCs w:val="20"/>
          <w:color w:val="auto"/>
        </w:rPr>
      </w:pPr>
      <w:r>
        <w:rPr>
          <w:rFonts w:ascii="Arial" w:cs="Arial" w:eastAsia="Arial" w:hAnsi="Arial"/>
          <w:sz w:val="18"/>
          <w:szCs w:val="18"/>
          <w:u w:val="single" w:color="auto"/>
          <w:color w:val="0000EE"/>
        </w:rPr>
        <w:t>Opinion of Cane Clark, LLP regarding the legality of the securities being registered</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OptimizeRx Corporation 2013 Incentive Plan</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Consent of Silberstein Ungar, PLLC</w:t>
      </w:r>
      <w:r>
        <w:rPr>
          <w:rFonts w:ascii="Arial" w:cs="Arial" w:eastAsia="Arial" w:hAnsi="Arial"/>
          <w:sz w:val="18"/>
          <w:szCs w:val="18"/>
          <w:color w:val="000000"/>
        </w:rPr>
        <w:t>*</w:t>
      </w:r>
    </w:p>
    <w:p>
      <w:pPr>
        <w:spacing w:after="0" w:line="189" w:lineRule="exact"/>
        <w:rPr>
          <w:sz w:val="20"/>
          <w:szCs w:val="20"/>
          <w:color w:val="auto"/>
        </w:rPr>
      </w:pPr>
    </w:p>
    <w:p>
      <w:pPr>
        <w:sectPr>
          <w:pgSz w:w="11900" w:h="16838" w:orient="portrait"/>
          <w:cols w:equalWidth="0" w:num="2">
            <w:col w:w="1420" w:space="200"/>
            <w:col w:w="9800"/>
          </w:cols>
          <w:pgMar w:left="240" w:top="625" w:right="239" w:bottom="1440" w:gutter="0" w:footer="0" w:header="0"/>
          <w:type w:val="continuous"/>
        </w:sect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6"/>
          <w:szCs w:val="16"/>
          <w:color w:val="auto"/>
        </w:rPr>
        <w:t>Incorporated by reference to the Registration Statement on Form S-1 filed with the SEC on November 12, 2008.</w:t>
      </w:r>
    </w:p>
    <w:p>
      <w:pPr>
        <w:spacing w:after="0" w:line="46" w:lineRule="exact"/>
        <w:rPr>
          <w:rFonts w:ascii="Arial" w:cs="Arial" w:eastAsia="Arial" w:hAnsi="Arial"/>
          <w:sz w:val="13"/>
          <w:szCs w:val="13"/>
          <w:color w:val="auto"/>
        </w:rPr>
      </w:pPr>
    </w:p>
    <w:p>
      <w:pPr>
        <w:ind w:left="340" w:hanging="3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Incorporated by reference to the Form 8-K filed with the SEC on July 16, 2010.</w:t>
      </w:r>
    </w:p>
    <w:p>
      <w:pPr>
        <w:spacing w:after="0" w:line="9" w:lineRule="exact"/>
        <w:rPr>
          <w:rFonts w:ascii="Arial" w:cs="Arial" w:eastAsia="Arial" w:hAnsi="Arial"/>
          <w:sz w:val="15"/>
          <w:szCs w:val="15"/>
          <w:color w:val="auto"/>
        </w:rPr>
      </w:pPr>
    </w:p>
    <w:p>
      <w:pPr>
        <w:ind w:left="340" w:hanging="332"/>
        <w:spacing w:after="0"/>
        <w:tabs>
          <w:tab w:leader="none" w:pos="34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Incorporated by reference to the Form 8-K filed with the SEC on June 11, 2010.</w:t>
      </w:r>
    </w:p>
    <w:p>
      <w:pPr>
        <w:spacing w:after="0" w:line="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9.  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 as amended;</w:t>
      </w:r>
    </w:p>
    <w:p>
      <w:pPr>
        <w:spacing w:after="0" w:line="225" w:lineRule="exact"/>
        <w:rPr>
          <w:rFonts w:ascii="Arial" w:cs="Arial" w:eastAsia="Arial" w:hAnsi="Arial"/>
          <w:sz w:val="18"/>
          <w:szCs w:val="18"/>
          <w:color w:val="auto"/>
        </w:rPr>
      </w:pPr>
    </w:p>
    <w:p>
      <w:pPr>
        <w:ind w:firstLine="8"/>
        <w:spacing w:after="0" w:line="29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180" w:firstLine="8"/>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right="220" w:firstLine="656"/>
        <w:spacing w:after="0" w:line="264"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780" w:firstLine="656"/>
        <w:spacing w:after="0" w:line="277"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determining liability under the Securities Act of 1933 to any purchaser:</w:t>
      </w:r>
    </w:p>
    <w:p>
      <w:pPr>
        <w:spacing w:after="0" w:line="225" w:lineRule="exact"/>
        <w:rPr>
          <w:sz w:val="20"/>
          <w:szCs w:val="20"/>
          <w:color w:val="auto"/>
        </w:rPr>
      </w:pPr>
    </w:p>
    <w:p>
      <w:pPr>
        <w:ind w:firstLine="8"/>
        <w:spacing w:after="0" w:line="293"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23" w:right="279" w:bottom="1440" w:gutter="0" w:footer="0" w:header="0"/>
        </w:sectPr>
      </w:pPr>
    </w:p>
    <w:bookmarkStart w:id="9" w:name="page10"/>
    <w:bookmarkEnd w:id="9"/>
    <w:p>
      <w:pPr>
        <w:ind w:left="920" w:hanging="264"/>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520" w:firstLine="8"/>
        <w:spacing w:after="0" w:line="277"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80" w:firstLine="8"/>
        <w:spacing w:after="0" w:line="277"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24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17" w:right="27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Rochester, Michigan, on June 19,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3"/>
          </w:tcPr>
          <w:p>
            <w:pPr>
              <w:spacing w:after="0"/>
              <w:rPr>
                <w:sz w:val="20"/>
                <w:szCs w:val="20"/>
                <w:color w:val="auto"/>
              </w:rPr>
            </w:pPr>
            <w:r>
              <w:rPr>
                <w:rFonts w:ascii="Arial" w:cs="Arial" w:eastAsia="Arial" w:hAnsi="Arial"/>
                <w:sz w:val="18"/>
                <w:szCs w:val="18"/>
                <w:color w:val="auto"/>
              </w:rPr>
              <w:t>/s/ Shad Stastney</w:t>
            </w:r>
          </w:p>
        </w:tc>
      </w:tr>
      <w:tr>
        <w:trPr>
          <w:trHeight w:val="195"/>
        </w:trPr>
        <w:tc>
          <w:tcPr>
            <w:tcW w:w="920" w:type="dxa"/>
            <w:vAlign w:val="bottom"/>
          </w:tcPr>
          <w:p>
            <w:pPr>
              <w:spacing w:after="0"/>
              <w:rPr>
                <w:sz w:val="16"/>
                <w:szCs w:val="16"/>
                <w:color w:val="auto"/>
              </w:rPr>
            </w:pPr>
          </w:p>
        </w:tc>
        <w:tc>
          <w:tcPr>
            <w:tcW w:w="1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Shad Stastney</w:t>
            </w:r>
          </w:p>
        </w:tc>
        <w:tc>
          <w:tcPr>
            <w:tcW w:w="690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3"/>
          </w:tcPr>
          <w:p>
            <w:pPr>
              <w:spacing w:after="0"/>
              <w:rPr>
                <w:sz w:val="20"/>
                <w:szCs w:val="20"/>
                <w:color w:val="auto"/>
              </w:rPr>
            </w:pPr>
            <w:r>
              <w:rPr>
                <w:rFonts w:ascii="Arial" w:cs="Arial" w:eastAsia="Arial" w:hAnsi="Arial"/>
                <w:sz w:val="18"/>
                <w:szCs w:val="18"/>
                <w:color w:val="auto"/>
              </w:rPr>
              <w:t>President, Chief Executive Officer, Principal Executive Officer and Director</w:t>
            </w: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3"/>
          </w:tcPr>
          <w:p>
            <w:pPr>
              <w:spacing w:after="0"/>
              <w:rPr>
                <w:sz w:val="20"/>
                <w:szCs w:val="20"/>
                <w:color w:val="auto"/>
              </w:rPr>
            </w:pPr>
            <w:r>
              <w:rPr>
                <w:rFonts w:ascii="Arial" w:cs="Arial" w:eastAsia="Arial" w:hAnsi="Arial"/>
                <w:sz w:val="18"/>
                <w:szCs w:val="18"/>
                <w:color w:val="auto"/>
              </w:rPr>
              <w:t>/s/ David Lester</w:t>
            </w:r>
          </w:p>
        </w:tc>
      </w:tr>
      <w:tr>
        <w:trPr>
          <w:trHeight w:val="195"/>
        </w:trPr>
        <w:tc>
          <w:tcPr>
            <w:tcW w:w="920" w:type="dxa"/>
            <w:vAlign w:val="bottom"/>
          </w:tcPr>
          <w:p>
            <w:pPr>
              <w:spacing w:after="0"/>
              <w:rPr>
                <w:sz w:val="16"/>
                <w:szCs w:val="16"/>
                <w:color w:val="auto"/>
              </w:rPr>
            </w:pPr>
          </w:p>
        </w:tc>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Lester</w:t>
            </w:r>
          </w:p>
        </w:tc>
        <w:tc>
          <w:tcPr>
            <w:tcW w:w="6980" w:type="dxa"/>
            <w:vAlign w:val="bottom"/>
            <w:gridSpan w:val="2"/>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3"/>
          </w:tcPr>
          <w:p>
            <w:pPr>
              <w:spacing w:after="0"/>
              <w:rPr>
                <w:sz w:val="20"/>
                <w:szCs w:val="20"/>
                <w:color w:val="auto"/>
              </w:rPr>
            </w:pPr>
            <w:r>
              <w:rPr>
                <w:rFonts w:ascii="Arial" w:cs="Arial" w:eastAsia="Arial" w:hAnsi="Arial"/>
                <w:sz w:val="18"/>
                <w:szCs w:val="18"/>
                <w:color w:val="auto"/>
                <w:w w:val="92"/>
              </w:rPr>
              <w:t>Chief Operating Officer, Chief Financial Officer, Principal Accounting Officer, Secretary, Treasurer and Director</w:t>
            </w:r>
          </w:p>
        </w:tc>
      </w:tr>
      <w:tr>
        <w:trPr>
          <w:trHeight w:val="41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tcPr>
          <w:p>
            <w:pPr>
              <w:ind w:left="254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Shad Stastney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any of them, or of their substitute or substitutes, may lawfully do or cause to be done by virtue hereof.</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stated.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5"/>
          </w:tcPr>
          <w:p>
            <w:pPr>
              <w:spacing w:after="0"/>
              <w:rPr>
                <w:sz w:val="20"/>
                <w:szCs w:val="20"/>
                <w:color w:val="auto"/>
              </w:rPr>
            </w:pPr>
            <w:r>
              <w:rPr>
                <w:rFonts w:ascii="Arial" w:cs="Arial" w:eastAsia="Arial" w:hAnsi="Arial"/>
                <w:sz w:val="18"/>
                <w:szCs w:val="18"/>
                <w:color w:val="auto"/>
              </w:rPr>
              <w:t>/s/ Shad Stastney</w:t>
            </w:r>
          </w:p>
        </w:tc>
      </w:tr>
      <w:tr>
        <w:trPr>
          <w:trHeight w:val="195"/>
        </w:trPr>
        <w:tc>
          <w:tcPr>
            <w:tcW w:w="92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Shad Stastney</w:t>
            </w:r>
          </w:p>
        </w:tc>
        <w:tc>
          <w:tcPr>
            <w:tcW w:w="440" w:type="dxa"/>
            <w:vAlign w:val="bottom"/>
          </w:tcPr>
          <w:p>
            <w:pPr>
              <w:spacing w:after="0"/>
              <w:rPr>
                <w:sz w:val="16"/>
                <w:szCs w:val="16"/>
                <w:color w:val="auto"/>
              </w:rPr>
            </w:pPr>
          </w:p>
        </w:tc>
        <w:tc>
          <w:tcPr>
            <w:tcW w:w="646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5"/>
          </w:tcPr>
          <w:p>
            <w:pPr>
              <w:spacing w:after="0"/>
              <w:rPr>
                <w:sz w:val="20"/>
                <w:szCs w:val="20"/>
                <w:color w:val="auto"/>
              </w:rPr>
            </w:pPr>
            <w:r>
              <w:rPr>
                <w:rFonts w:ascii="Arial" w:cs="Arial" w:eastAsia="Arial" w:hAnsi="Arial"/>
                <w:sz w:val="18"/>
                <w:szCs w:val="18"/>
                <w:color w:val="auto"/>
              </w:rPr>
              <w:t>President, Chief Executive Officer, Principal Executive Officer and Director</w:t>
            </w: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5"/>
          </w:tcPr>
          <w:p>
            <w:pPr>
              <w:spacing w:after="0"/>
              <w:rPr>
                <w:sz w:val="20"/>
                <w:szCs w:val="20"/>
                <w:color w:val="auto"/>
              </w:rPr>
            </w:pPr>
            <w:r>
              <w:rPr>
                <w:rFonts w:ascii="Arial" w:cs="Arial" w:eastAsia="Arial" w:hAnsi="Arial"/>
                <w:sz w:val="18"/>
                <w:szCs w:val="18"/>
                <w:color w:val="auto"/>
              </w:rPr>
              <w:t>/s/ David Lester</w:t>
            </w:r>
          </w:p>
        </w:tc>
      </w:tr>
      <w:tr>
        <w:trPr>
          <w:trHeight w:val="195"/>
        </w:trPr>
        <w:tc>
          <w:tcPr>
            <w:tcW w:w="920" w:type="dxa"/>
            <w:vAlign w:val="bottom"/>
          </w:tcPr>
          <w:p>
            <w:pPr>
              <w:spacing w:after="0"/>
              <w:rPr>
                <w:sz w:val="16"/>
                <w:szCs w:val="16"/>
                <w:color w:val="auto"/>
              </w:rPr>
            </w:pPr>
          </w:p>
        </w:tc>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Lester</w:t>
            </w:r>
          </w:p>
        </w:tc>
        <w:tc>
          <w:tcPr>
            <w:tcW w:w="6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646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5"/>
          </w:tcPr>
          <w:p>
            <w:pPr>
              <w:spacing w:after="0"/>
              <w:rPr>
                <w:sz w:val="20"/>
                <w:szCs w:val="20"/>
                <w:color w:val="auto"/>
              </w:rPr>
            </w:pPr>
            <w:r>
              <w:rPr>
                <w:rFonts w:ascii="Arial" w:cs="Arial" w:eastAsia="Arial" w:hAnsi="Arial"/>
                <w:sz w:val="18"/>
                <w:szCs w:val="18"/>
                <w:color w:val="auto"/>
                <w:w w:val="92"/>
              </w:rPr>
              <w:t>Chief Operating Officer, Chief Financial Officer, Principal Accounting Officer, Secretary, Treasurer and Director</w:t>
            </w: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5"/>
          </w:tcPr>
          <w:p>
            <w:pPr>
              <w:spacing w:after="0"/>
              <w:rPr>
                <w:sz w:val="20"/>
                <w:szCs w:val="20"/>
                <w:color w:val="auto"/>
              </w:rPr>
            </w:pPr>
            <w:r>
              <w:rPr>
                <w:rFonts w:ascii="Arial" w:cs="Arial" w:eastAsia="Arial" w:hAnsi="Arial"/>
                <w:sz w:val="18"/>
                <w:szCs w:val="18"/>
                <w:color w:val="auto"/>
              </w:rPr>
              <w:t>/s/ David Harrell</w:t>
            </w:r>
          </w:p>
        </w:tc>
      </w:tr>
      <w:tr>
        <w:trPr>
          <w:trHeight w:val="195"/>
        </w:trPr>
        <w:tc>
          <w:tcPr>
            <w:tcW w:w="920" w:type="dxa"/>
            <w:vAlign w:val="bottom"/>
          </w:tcPr>
          <w:p>
            <w:pPr>
              <w:spacing w:after="0"/>
              <w:rPr>
                <w:sz w:val="16"/>
                <w:szCs w:val="16"/>
                <w:color w:val="auto"/>
              </w:rPr>
            </w:pPr>
          </w:p>
        </w:tc>
        <w:tc>
          <w:tcPr>
            <w:tcW w:w="1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David Harrell</w:t>
            </w:r>
          </w:p>
        </w:tc>
        <w:tc>
          <w:tcPr>
            <w:tcW w:w="460" w:type="dxa"/>
            <w:vAlign w:val="bottom"/>
            <w:gridSpan w:val="2"/>
          </w:tcPr>
          <w:p>
            <w:pPr>
              <w:spacing w:after="0"/>
              <w:rPr>
                <w:sz w:val="16"/>
                <w:szCs w:val="16"/>
                <w:color w:val="auto"/>
              </w:rPr>
            </w:pPr>
          </w:p>
        </w:tc>
        <w:tc>
          <w:tcPr>
            <w:tcW w:w="646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5"/>
          </w:tcPr>
          <w:p>
            <w:pPr>
              <w:spacing w:after="0"/>
              <w:rPr>
                <w:sz w:val="20"/>
                <w:szCs w:val="20"/>
                <w:color w:val="auto"/>
              </w:rPr>
            </w:pPr>
            <w:r>
              <w:rPr>
                <w:rFonts w:ascii="Arial" w:cs="Arial" w:eastAsia="Arial" w:hAnsi="Arial"/>
                <w:sz w:val="18"/>
                <w:szCs w:val="18"/>
                <w:color w:val="auto"/>
              </w:rPr>
              <w:t>Chief Strategic Officer and Director</w:t>
            </w: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8140" w:type="dxa"/>
            <w:vAlign w:val="bottom"/>
            <w:gridSpan w:val="5"/>
          </w:tcPr>
          <w:p>
            <w:pPr>
              <w:spacing w:after="0"/>
              <w:rPr>
                <w:sz w:val="20"/>
                <w:szCs w:val="20"/>
                <w:color w:val="auto"/>
              </w:rPr>
            </w:pPr>
            <w:r>
              <w:rPr>
                <w:rFonts w:ascii="Arial" w:cs="Arial" w:eastAsia="Arial" w:hAnsi="Arial"/>
                <w:sz w:val="18"/>
                <w:szCs w:val="18"/>
                <w:color w:val="auto"/>
              </w:rPr>
              <w:t>/s/ Terence J. Hamilton</w:t>
            </w:r>
          </w:p>
        </w:tc>
      </w:tr>
      <w:tr>
        <w:trPr>
          <w:trHeight w:val="195"/>
        </w:trPr>
        <w:tc>
          <w:tcPr>
            <w:tcW w:w="920" w:type="dxa"/>
            <w:vAlign w:val="bottom"/>
          </w:tcPr>
          <w:p>
            <w:pPr>
              <w:spacing w:after="0"/>
              <w:rPr>
                <w:sz w:val="16"/>
                <w:szCs w:val="16"/>
                <w:color w:val="auto"/>
              </w:rPr>
            </w:pPr>
          </w:p>
        </w:tc>
        <w:tc>
          <w:tcPr>
            <w:tcW w:w="16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Terence J. Hamilton</w:t>
            </w:r>
          </w:p>
        </w:tc>
        <w:tc>
          <w:tcPr>
            <w:tcW w:w="646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8140" w:type="dxa"/>
            <w:vAlign w:val="bottom"/>
            <w:gridSpan w:val="5"/>
          </w:tcPr>
          <w:p>
            <w:pPr>
              <w:spacing w:after="0"/>
              <w:rPr>
                <w:sz w:val="20"/>
                <w:szCs w:val="20"/>
                <w:color w:val="auto"/>
              </w:rPr>
            </w:pPr>
            <w:r>
              <w:rPr>
                <w:rFonts w:ascii="Arial" w:cs="Arial" w:eastAsia="Arial" w:hAnsi="Arial"/>
                <w:sz w:val="18"/>
                <w:szCs w:val="18"/>
                <w:color w:val="auto"/>
              </w:rPr>
              <w:t>VP of Sales and Director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June 19, 2013</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23" w:right="3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tbl>
      <w:tblPr>
        <w:tblLayout w:type="fixed"/>
        <w:tblInd w:w="100" w:type="dxa"/>
        <w:tblCellMar>
          <w:top w:w="0" w:type="dxa"/>
          <w:left w:w="0" w:type="dxa"/>
          <w:bottom w:w="0" w:type="dxa"/>
          <w:right w:w="0" w:type="dxa"/>
        </w:tblCellMar>
      </w:tblPr>
      <w:tr>
        <w:trPr>
          <w:trHeight w:val="307"/>
        </w:trPr>
        <w:tc>
          <w:tcPr>
            <w:tcW w:w="5360" w:type="dxa"/>
            <w:vAlign w:val="bottom"/>
            <w:gridSpan w:val="2"/>
          </w:tcPr>
          <w:p>
            <w:pPr>
              <w:spacing w:after="0" w:line="306" w:lineRule="exact"/>
              <w:rPr>
                <w:sz w:val="20"/>
                <w:szCs w:val="20"/>
                <w:color w:val="auto"/>
              </w:rPr>
            </w:pPr>
            <w:r>
              <w:rPr>
                <w:rFonts w:ascii="Arial" w:cs="Arial" w:eastAsia="Arial" w:hAnsi="Arial"/>
                <w:sz w:val="35"/>
                <w:szCs w:val="35"/>
                <w:color w:val="auto"/>
              </w:rPr>
              <w:t>C</w:t>
            </w:r>
            <w:r>
              <w:rPr>
                <w:rFonts w:ascii="Arial" w:cs="Arial" w:eastAsia="Arial" w:hAnsi="Arial"/>
                <w:sz w:val="24"/>
                <w:szCs w:val="24"/>
                <w:color w:val="auto"/>
              </w:rPr>
              <w:t>ANE</w:t>
            </w:r>
            <w:r>
              <w:rPr>
                <w:rFonts w:ascii="Arial" w:cs="Arial" w:eastAsia="Arial" w:hAnsi="Arial"/>
                <w:sz w:val="35"/>
                <w:szCs w:val="35"/>
                <w:color w:val="auto"/>
              </w:rPr>
              <w:t xml:space="preserve"> C</w:t>
            </w:r>
            <w:r>
              <w:rPr>
                <w:rFonts w:ascii="Arial" w:cs="Arial" w:eastAsia="Arial" w:hAnsi="Arial"/>
                <w:sz w:val="24"/>
                <w:szCs w:val="24"/>
                <w:color w:val="auto"/>
              </w:rPr>
              <w:t>LARK LLP</w:t>
            </w:r>
          </w:p>
        </w:tc>
        <w:tc>
          <w:tcPr>
            <w:tcW w:w="4300" w:type="dxa"/>
            <w:vAlign w:val="bottom"/>
          </w:tcPr>
          <w:p>
            <w:pPr>
              <w:ind w:left="2420"/>
              <w:spacing w:after="0"/>
              <w:rPr>
                <w:sz w:val="20"/>
                <w:szCs w:val="20"/>
                <w:color w:val="auto"/>
              </w:rPr>
            </w:pPr>
            <w:r>
              <w:rPr>
                <w:rFonts w:ascii="Arial" w:cs="Arial" w:eastAsia="Arial" w:hAnsi="Arial"/>
                <w:sz w:val="14"/>
                <w:szCs w:val="14"/>
                <w:color w:val="auto"/>
              </w:rPr>
              <w:t>Las Vegas, NV 89120</w:t>
            </w:r>
          </w:p>
        </w:tc>
      </w:tr>
      <w:tr>
        <w:trPr>
          <w:trHeight w:val="172"/>
        </w:trPr>
        <w:tc>
          <w:tcPr>
            <w:tcW w:w="16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300" w:type="dxa"/>
            <w:vAlign w:val="bottom"/>
          </w:tcPr>
          <w:p>
            <w:pPr>
              <w:ind w:left="2420"/>
              <w:spacing w:after="0"/>
              <w:rPr>
                <w:sz w:val="20"/>
                <w:szCs w:val="20"/>
                <w:color w:val="auto"/>
              </w:rPr>
            </w:pPr>
            <w:r>
              <w:rPr>
                <w:rFonts w:ascii="Arial" w:cs="Arial" w:eastAsia="Arial" w:hAnsi="Arial"/>
                <w:sz w:val="14"/>
                <w:szCs w:val="14"/>
                <w:color w:val="auto"/>
              </w:rPr>
              <w:t>3273 E. Warm Springs</w:t>
            </w:r>
          </w:p>
        </w:tc>
      </w:tr>
      <w:tr>
        <w:trPr>
          <w:trHeight w:val="530"/>
        </w:trPr>
        <w:tc>
          <w:tcPr>
            <w:tcW w:w="1620" w:type="dxa"/>
            <w:vAlign w:val="bottom"/>
          </w:tcPr>
          <w:p>
            <w:pPr>
              <w:spacing w:after="0"/>
              <w:rPr>
                <w:sz w:val="20"/>
                <w:szCs w:val="20"/>
                <w:color w:val="auto"/>
              </w:rPr>
            </w:pPr>
            <w:r>
              <w:rPr>
                <w:rFonts w:ascii="Arial" w:cs="Arial" w:eastAsia="Arial" w:hAnsi="Arial"/>
                <w:sz w:val="14"/>
                <w:szCs w:val="14"/>
                <w:color w:val="auto"/>
              </w:rPr>
              <w:t>Kyleen E. Cane*</w:t>
            </w:r>
          </w:p>
        </w:tc>
        <w:tc>
          <w:tcPr>
            <w:tcW w:w="3740" w:type="dxa"/>
            <w:vAlign w:val="bottom"/>
          </w:tcPr>
          <w:p>
            <w:pPr>
              <w:ind w:left="320"/>
              <w:spacing w:after="0"/>
              <w:rPr>
                <w:sz w:val="20"/>
                <w:szCs w:val="20"/>
                <w:color w:val="auto"/>
              </w:rPr>
            </w:pPr>
            <w:r>
              <w:rPr>
                <w:rFonts w:ascii="Arial" w:cs="Arial" w:eastAsia="Arial" w:hAnsi="Arial"/>
                <w:sz w:val="14"/>
                <w:szCs w:val="14"/>
                <w:color w:val="auto"/>
              </w:rPr>
              <w:t>Bryan R. Clark^</w:t>
            </w:r>
          </w:p>
        </w:tc>
        <w:tc>
          <w:tcPr>
            <w:tcW w:w="4300" w:type="dxa"/>
            <w:vAlign w:val="bottom"/>
          </w:tcPr>
          <w:p>
            <w:pPr>
              <w:ind w:left="2420"/>
              <w:spacing w:after="0"/>
              <w:rPr>
                <w:sz w:val="20"/>
                <w:szCs w:val="20"/>
                <w:color w:val="auto"/>
              </w:rPr>
            </w:pPr>
            <w:r>
              <w:rPr>
                <w:rFonts w:ascii="Arial" w:cs="Arial" w:eastAsia="Arial" w:hAnsi="Arial"/>
                <w:sz w:val="14"/>
                <w:szCs w:val="14"/>
                <w:color w:val="auto"/>
              </w:rPr>
              <w:t>Telephone:  702-312-6255</w:t>
            </w:r>
          </w:p>
        </w:tc>
      </w:tr>
      <w:tr>
        <w:trPr>
          <w:trHeight w:val="152"/>
        </w:trPr>
        <w:tc>
          <w:tcPr>
            <w:tcW w:w="1620" w:type="dxa"/>
            <w:vAlign w:val="bottom"/>
          </w:tcPr>
          <w:p>
            <w:pPr>
              <w:spacing w:after="0" w:line="152" w:lineRule="exact"/>
              <w:rPr>
                <w:sz w:val="20"/>
                <w:szCs w:val="20"/>
                <w:color w:val="auto"/>
              </w:rPr>
            </w:pPr>
            <w:r>
              <w:rPr>
                <w:rFonts w:ascii="Arial" w:cs="Arial" w:eastAsia="Arial" w:hAnsi="Arial"/>
                <w:sz w:val="14"/>
                <w:szCs w:val="14"/>
                <w:color w:val="auto"/>
              </w:rPr>
              <w:t>Joe Laxague</w:t>
            </w:r>
          </w:p>
        </w:tc>
        <w:tc>
          <w:tcPr>
            <w:tcW w:w="3740" w:type="dxa"/>
            <w:vAlign w:val="bottom"/>
          </w:tcPr>
          <w:p>
            <w:pPr>
              <w:ind w:left="320"/>
              <w:spacing w:after="0" w:line="152" w:lineRule="exact"/>
              <w:rPr>
                <w:sz w:val="20"/>
                <w:szCs w:val="20"/>
                <w:color w:val="auto"/>
              </w:rPr>
            </w:pPr>
            <w:r>
              <w:rPr>
                <w:rFonts w:ascii="Arial" w:cs="Arial" w:eastAsia="Arial" w:hAnsi="Arial"/>
                <w:sz w:val="14"/>
                <w:szCs w:val="14"/>
                <w:color w:val="auto"/>
              </w:rPr>
              <w:t>Scott P. Doney</w:t>
            </w:r>
          </w:p>
        </w:tc>
        <w:tc>
          <w:tcPr>
            <w:tcW w:w="4300" w:type="dxa"/>
            <w:vAlign w:val="bottom"/>
          </w:tcPr>
          <w:p>
            <w:pPr>
              <w:ind w:left="2420"/>
              <w:spacing w:after="0" w:line="152" w:lineRule="exact"/>
              <w:rPr>
                <w:sz w:val="20"/>
                <w:szCs w:val="20"/>
                <w:color w:val="auto"/>
              </w:rPr>
            </w:pPr>
            <w:r>
              <w:rPr>
                <w:rFonts w:ascii="Arial" w:cs="Arial" w:eastAsia="Arial" w:hAnsi="Arial"/>
                <w:sz w:val="14"/>
                <w:szCs w:val="14"/>
                <w:color w:val="auto"/>
              </w:rPr>
              <w:t>Facsimile:   702-944-7100</w:t>
            </w:r>
          </w:p>
        </w:tc>
      </w:tr>
      <w:tr>
        <w:trPr>
          <w:trHeight w:val="182"/>
        </w:trPr>
        <w:tc>
          <w:tcPr>
            <w:tcW w:w="1620" w:type="dxa"/>
            <w:vAlign w:val="bottom"/>
          </w:tcPr>
          <w:p>
            <w:pPr>
              <w:spacing w:after="0"/>
              <w:rPr>
                <w:sz w:val="20"/>
                <w:szCs w:val="20"/>
                <w:color w:val="auto"/>
              </w:rPr>
            </w:pPr>
            <w:r>
              <w:rPr>
                <w:rFonts w:ascii="Arial" w:cs="Arial" w:eastAsia="Arial" w:hAnsi="Arial"/>
                <w:sz w:val="14"/>
                <w:szCs w:val="14"/>
                <w:color w:val="auto"/>
              </w:rPr>
              <w:t>Christopher T. Clark</w:t>
            </w:r>
          </w:p>
        </w:tc>
        <w:tc>
          <w:tcPr>
            <w:tcW w:w="3740" w:type="dxa"/>
            <w:vAlign w:val="bottom"/>
          </w:tcPr>
          <w:p>
            <w:pPr>
              <w:spacing w:after="0"/>
              <w:rPr>
                <w:sz w:val="15"/>
                <w:szCs w:val="15"/>
                <w:color w:val="auto"/>
              </w:rPr>
            </w:pPr>
          </w:p>
        </w:tc>
        <w:tc>
          <w:tcPr>
            <w:tcW w:w="4300" w:type="dxa"/>
            <w:vAlign w:val="bottom"/>
          </w:tcPr>
          <w:p>
            <w:pPr>
              <w:ind w:left="2420"/>
              <w:spacing w:after="0"/>
              <w:rPr>
                <w:sz w:val="20"/>
                <w:szCs w:val="20"/>
                <w:color w:val="auto"/>
              </w:rPr>
            </w:pPr>
            <w:r>
              <w:rPr>
                <w:rFonts w:ascii="Arial" w:cs="Arial" w:eastAsia="Arial" w:hAnsi="Arial"/>
                <w:sz w:val="14"/>
                <w:szCs w:val="14"/>
                <w:color w:val="auto"/>
                <w:w w:val="94"/>
              </w:rPr>
              <w:t>Email:  sdoney@caneclark.com</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June 17,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OptimizeRx Corporation,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for OptimizeRx Corporation,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1,500,000 shares of the Company’s common stock (the “Shares”) which may be issued pursuant to the Company’s 2013 Equity Incentive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rendering the opinion set forth below, we have reviewed: (a) the Registration Statement and the exhibits attached thereto; (b) the Company's Articles of Incorporation; (c) the Company's Bylaws; (d) certain records of the Company's corporate proceedings as reflected in its minute books including resolutions of the board of directors approving the 2013 Equity Incentive Plan; (e) the 2013 Equity Incentive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 In addition, we have made such other examinations of law and fact, as we have deemed relevant in order to form a basis for the opinion hereinafter expressed.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the foregoing, we are of the opinion that the Shares have been validly authorized, and when the Registration Statement has become effective under the Act, such Shares will, when issued pursuant to the terms of the 2013 Equity Incentive Plan, be legally issued, fully paid and non-assessable shares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CANE CLARK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ectPr>
          <w:pgSz w:w="11900" w:h="16838" w:orient="portrait"/>
          <w:cols w:equalWidth="0" w:num="1">
            <w:col w:w="11420"/>
          </w:cols>
          <w:pgMar w:left="240" w:top="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inclusion of our name and use of our opinion in connection with the Form S-8 Registration Statement filed with the Securities and Exchange Commission as counsel for the registrant, OptimizeRx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CANE CLARK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72" w:right="239" w:bottom="1440" w:gutter="0" w:footer="0" w:header="0"/>
        </w:sectPr>
      </w:pPr>
    </w:p>
    <w:bookmarkStart w:id="14" w:name="page15"/>
    <w:bookmarkEnd w:id="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INCENTIVE PLAN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 PURPOSE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OptimizeRx Corporation 2013 Incentive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in the Plan have the meanings set forth in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SECTION3. ADMINISTRATION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Administration of the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and nothing in this Plan requires the Board to have a Compensation Committee.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Delegation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Administration and Interpretation by Committee</w:t>
      </w:r>
    </w:p>
    <w:p>
      <w:pPr>
        <w:spacing w:after="0" w:line="225" w:lineRule="exact"/>
        <w:rPr>
          <w:sz w:val="20"/>
          <w:szCs w:val="20"/>
          <w:color w:val="auto"/>
        </w:rPr>
      </w:pPr>
    </w:p>
    <w:p>
      <w:pPr>
        <w:jc w:val="both"/>
        <w:ind w:left="340" w:firstLine="316"/>
        <w:spacing w:after="0" w:line="26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181" w:lineRule="exact"/>
        <w:rPr>
          <w:rFonts w:ascii="Arial" w:cs="Arial" w:eastAsia="Arial" w:hAnsi="Arial"/>
          <w:sz w:val="18"/>
          <w:szCs w:val="18"/>
          <w:color w:val="auto"/>
        </w:rPr>
      </w:pPr>
    </w:p>
    <w:p>
      <w:pPr>
        <w:ind w:left="1200" w:hanging="220"/>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select the Eligible Persons to whom Awards may from time to time be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determine the number of shares of Common Stock, if any, to be covered by each Award granted under the Plan;</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approve the forms of notice or agreement for use under the Plan;</w:t>
      </w:r>
    </w:p>
    <w:p>
      <w:pPr>
        <w:spacing w:after="0" w:line="225" w:lineRule="exact"/>
        <w:rPr>
          <w:rFonts w:ascii="Arial" w:cs="Arial" w:eastAsia="Arial" w:hAnsi="Arial"/>
          <w:sz w:val="18"/>
          <w:szCs w:val="18"/>
          <w:color w:val="auto"/>
        </w:rPr>
      </w:pPr>
    </w:p>
    <w:p>
      <w:pPr>
        <w:ind w:left="660" w:firstLine="320"/>
        <w:spacing w:after="0" w:line="277"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in cash, shares of Common Stock or other property or canceled or suspended;</w:t>
      </w:r>
    </w:p>
    <w:p>
      <w:pPr>
        <w:spacing w:after="0" w:line="170" w:lineRule="exact"/>
        <w:rPr>
          <w:rFonts w:ascii="Arial" w:cs="Arial" w:eastAsia="Arial" w:hAnsi="Arial"/>
          <w:sz w:val="18"/>
          <w:szCs w:val="18"/>
          <w:color w:val="auto"/>
        </w:rPr>
      </w:pPr>
    </w:p>
    <w:p>
      <w:pPr>
        <w:ind w:left="660" w:firstLine="320"/>
        <w:spacing w:after="0" w:line="277" w:lineRule="auto"/>
        <w:tabs>
          <w:tab w:leader="none" w:pos="13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interpret and administer the Plan and any instrument evidencing an Award, notice or agreement executed or entered into under the Plan;</w:t>
      </w:r>
    </w:p>
    <w:p>
      <w:pPr>
        <w:spacing w:after="0" w:line="248" w:lineRule="exact"/>
        <w:rPr>
          <w:rFonts w:ascii="Arial" w:cs="Arial" w:eastAsia="Arial" w:hAnsi="Arial"/>
          <w:sz w:val="16"/>
          <w:szCs w:val="16"/>
          <w:color w:val="auto"/>
        </w:rPr>
      </w:pPr>
    </w:p>
    <w:p>
      <w:pPr>
        <w:ind w:left="1280" w:hanging="300"/>
        <w:spacing w:after="0"/>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establish such rules and regulations as it shall deem appropriate for the proper administration of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delegate ministerial duties to such of the Company’s employees as it so determines; and</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administration of the Plan.</w:t>
      </w:r>
    </w:p>
    <w:p>
      <w:pPr>
        <w:spacing w:after="0" w:line="248" w:lineRule="exact"/>
        <w:rPr>
          <w:rFonts w:ascii="Arial" w:cs="Arial" w:eastAsia="Arial" w:hAnsi="Arial"/>
          <w:sz w:val="16"/>
          <w:szCs w:val="16"/>
          <w:color w:val="auto"/>
        </w:rPr>
      </w:pPr>
    </w:p>
    <w:p>
      <w:pPr>
        <w:jc w:val="both"/>
        <w:ind w:left="340" w:firstLine="316"/>
        <w:spacing w:after="0" w:line="264" w:lineRule="auto"/>
        <w:tabs>
          <w:tab w:leader="none" w:pos="9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81" w:lineRule="exact"/>
        <w:rPr>
          <w:rFonts w:ascii="Arial" w:cs="Arial" w:eastAsia="Arial" w:hAnsi="Arial"/>
          <w:sz w:val="18"/>
          <w:szCs w:val="18"/>
          <w:color w:val="auto"/>
        </w:rPr>
      </w:pPr>
    </w:p>
    <w:p>
      <w:pPr>
        <w:jc w:val="both"/>
        <w:ind w:left="340" w:firstLine="316"/>
        <w:spacing w:after="0" w:line="264" w:lineRule="auto"/>
        <w:tabs>
          <w:tab w:leader="none" w:pos="9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81" w:lineRule="exact"/>
        <w:rPr>
          <w:rFonts w:ascii="Arial" w:cs="Arial" w:eastAsia="Arial" w:hAnsi="Arial"/>
          <w:sz w:val="18"/>
          <w:szCs w:val="18"/>
          <w:color w:val="auto"/>
        </w:rPr>
      </w:pPr>
    </w:p>
    <w:p>
      <w:pPr>
        <w:ind w:left="340" w:firstLine="316"/>
        <w:spacing w:after="0" w:line="277" w:lineRule="auto"/>
        <w:tabs>
          <w:tab w:leader="none" w:pos="9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SECTION4. SHARES SUBJECT TO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Authorized Number of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adjustment from time to time as provided in subsection 15.1, a maximum of 1,500,000 shares of Common Stock shall be available for issuance under the Plan. Shares issued under the Plan shall be drawn from authorized and unissued shares or shares now held or subsequently acquired by the Company as treasury shares.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Usage</w:t>
      </w:r>
    </w:p>
    <w:p>
      <w:pPr>
        <w:spacing w:after="0" w:line="225" w:lineRule="exact"/>
        <w:rPr>
          <w:sz w:val="20"/>
          <w:szCs w:val="20"/>
          <w:color w:val="auto"/>
        </w:rPr>
      </w:pPr>
    </w:p>
    <w:p>
      <w:pPr>
        <w:jc w:val="both"/>
        <w:ind w:left="340" w:firstLine="316"/>
        <w:spacing w:after="0" w:line="279" w:lineRule="auto"/>
        <w:tabs>
          <w:tab w:leader="none" w:pos="94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660" w:firstLine="320"/>
        <w:spacing w:after="0" w:line="277" w:lineRule="auto"/>
        <w:tabs>
          <w:tab w:leader="none" w:pos="1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tendered by a Participant or retained by the Company as full or partial payment to the Company for the purchase price of an Award or to satisfy tax withholding obligations in connection with an Award, or</w:t>
      </w:r>
    </w:p>
    <w:p>
      <w:pPr>
        <w:spacing w:after="0" w:line="170" w:lineRule="exact"/>
        <w:rPr>
          <w:rFonts w:ascii="Arial" w:cs="Arial" w:eastAsia="Arial" w:hAnsi="Arial"/>
          <w:sz w:val="18"/>
          <w:szCs w:val="18"/>
          <w:color w:val="auto"/>
        </w:rPr>
      </w:pPr>
    </w:p>
    <w:p>
      <w:pPr>
        <w:ind w:left="660" w:firstLine="320"/>
        <w:spacing w:after="0" w:line="277" w:lineRule="auto"/>
        <w:tabs>
          <w:tab w:leader="none" w:pos="12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covered by an Award that is settled in cash, or in a manner such that some or all of the shares of Common Stock covered by the Award are not issued,</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81" w:lineRule="exact"/>
        <w:rPr>
          <w:sz w:val="20"/>
          <w:szCs w:val="20"/>
          <w:color w:val="auto"/>
        </w:rPr>
      </w:pPr>
    </w:p>
    <w:p>
      <w:pPr>
        <w:ind w:left="340" w:firstLine="316"/>
        <w:spacing w:after="0" w:line="277" w:lineRule="auto"/>
        <w:tabs>
          <w:tab w:leader="none" w:pos="9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70" w:lineRule="exact"/>
        <w:rPr>
          <w:rFonts w:ascii="Arial" w:cs="Arial" w:eastAsia="Arial" w:hAnsi="Arial"/>
          <w:sz w:val="18"/>
          <w:szCs w:val="18"/>
          <w:color w:val="auto"/>
        </w:rPr>
      </w:pPr>
    </w:p>
    <w:p>
      <w:pPr>
        <w:jc w:val="both"/>
        <w:ind w:left="340" w:firstLine="316"/>
        <w:spacing w:after="0" w:line="286" w:lineRule="auto"/>
        <w:tabs>
          <w:tab w:leader="none" w:pos="9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174" w:lineRule="exact"/>
        <w:rPr>
          <w:rFonts w:ascii="Arial" w:cs="Arial" w:eastAsia="Arial" w:hAnsi="Arial"/>
          <w:sz w:val="16"/>
          <w:szCs w:val="16"/>
          <w:color w:val="auto"/>
        </w:rPr>
      </w:pPr>
    </w:p>
    <w:p>
      <w:pPr>
        <w:ind w:left="340" w:right="20" w:firstLine="316"/>
        <w:spacing w:after="0" w:line="308" w:lineRule="auto"/>
        <w:tabs>
          <w:tab w:leader="none" w:pos="9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SECTION5. ELIGIBILITY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81"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not in connection with the offer and sale of the Company’s securities in a capital-raising transaction,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directly or indirectly promote or maintain a market for the Company’s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SECTION6.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Form, Grant and Settlement of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Evidence of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Dividends and Distributions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SECTION7.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Grant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grant Options designated as Incentive Stock Options or Nonqualified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Option Exercise Price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Term of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earlier termination in accordance with the terms of the Plan and the instrument evidencing the Option, the maximum term of a Nonqualified Stock Option shall be ten years from the Grant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Exercise of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Payment of Exercise Price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81"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or wire transfer;</w:t>
      </w:r>
    </w:p>
    <w:p>
      <w:pPr>
        <w:spacing w:after="0" w:line="225" w:lineRule="exact"/>
        <w:rPr>
          <w:rFonts w:ascii="Arial" w:cs="Arial" w:eastAsia="Arial" w:hAnsi="Arial"/>
          <w:sz w:val="18"/>
          <w:szCs w:val="18"/>
          <w:color w:val="auto"/>
        </w:rPr>
      </w:pPr>
    </w:p>
    <w:p>
      <w:pPr>
        <w:ind w:left="340" w:firstLine="316"/>
        <w:spacing w:after="0" w:line="277" w:lineRule="auto"/>
        <w:tabs>
          <w:tab w:leader="none" w:pos="9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70" w:lineRule="exact"/>
        <w:rPr>
          <w:rFonts w:ascii="Arial" w:cs="Arial" w:eastAsia="Arial" w:hAnsi="Arial"/>
          <w:sz w:val="18"/>
          <w:szCs w:val="18"/>
          <w:color w:val="auto"/>
        </w:rPr>
      </w:pPr>
    </w:p>
    <w:p>
      <w:pPr>
        <w:jc w:val="both"/>
        <w:ind w:left="340" w:firstLine="316"/>
        <w:spacing w:after="0" w:line="264" w:lineRule="auto"/>
        <w:tabs>
          <w:tab w:leader="none" w:pos="9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81" w:lineRule="exact"/>
        <w:rPr>
          <w:rFonts w:ascii="Arial" w:cs="Arial" w:eastAsia="Arial" w:hAnsi="Arial"/>
          <w:sz w:val="18"/>
          <w:szCs w:val="18"/>
          <w:color w:val="auto"/>
        </w:rPr>
      </w:pPr>
    </w:p>
    <w:p>
      <w:pPr>
        <w:jc w:val="both"/>
        <w:ind w:left="340" w:right="20" w:firstLine="316"/>
        <w:spacing w:after="0" w:line="259" w:lineRule="auto"/>
        <w:tabs>
          <w:tab w:leader="none" w:pos="9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consideration as the Committee may permit.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Effect of Termination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87"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portion of an Option that is not vested and exercisable on the date of a Participant’s Termination of Service shall expire on such date.</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portion of an Option that is vested and exercisable on the date of a Participant’s Termination of Service shall expire on the earliest to occur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660" w:right="20" w:firstLine="320"/>
        <w:spacing w:after="0" w:line="277" w:lineRule="auto"/>
        <w:tabs>
          <w:tab w:leader="none" w:pos="12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for reasons other than Cause, Retirement, Disability or death, the date that is three months after such Termination of Service;</w:t>
      </w:r>
    </w:p>
    <w:p>
      <w:pPr>
        <w:spacing w:after="0" w:line="170" w:lineRule="exact"/>
        <w:rPr>
          <w:rFonts w:ascii="Arial" w:cs="Arial" w:eastAsia="Arial" w:hAnsi="Arial"/>
          <w:sz w:val="18"/>
          <w:szCs w:val="18"/>
          <w:color w:val="auto"/>
        </w:rPr>
      </w:pPr>
    </w:p>
    <w:p>
      <w:pPr>
        <w:ind w:left="660" w:firstLine="320"/>
        <w:spacing w:after="0" w:line="277" w:lineRule="auto"/>
        <w:tabs>
          <w:tab w:leader="none" w:pos="12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by reason of Retirement, Disability or death, the one-year anniversary of such Termination of Service;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Option Expiration Date.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left="340"/>
        <w:spacing w:after="0" w:line="290" w:lineRule="auto"/>
        <w:rPr>
          <w:sz w:val="20"/>
          <w:szCs w:val="20"/>
          <w:color w:val="auto"/>
        </w:rPr>
      </w:pPr>
      <w:r>
        <w:rPr>
          <w:rFonts w:ascii="Arial" w:cs="Arial" w:eastAsia="Arial" w:hAnsi="Arial"/>
          <w:sz w:val="16"/>
          <w:szCs w:val="16"/>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66" w:lineRule="exact"/>
        <w:rPr>
          <w:sz w:val="20"/>
          <w:szCs w:val="20"/>
          <w:color w:val="auto"/>
        </w:rPr>
      </w:pPr>
    </w:p>
    <w:p>
      <w:pPr>
        <w:jc w:val="both"/>
        <w:ind w:left="340" w:firstLine="316"/>
        <w:spacing w:after="0" w:line="276" w:lineRule="auto"/>
        <w:tabs>
          <w:tab w:leader="none" w:pos="9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SECTION8. INCENTIVE STOCK OPTION LIMITATIONS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Dollar Limitation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Eligible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Individuals who are not employees of the Company or one of its parent or subsidiary corporations may not be granted Incentive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Exercise Price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Option Term</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Taxation of Incentive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Code Definitions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“disability” “parent corporation” and “subsidiary corporation” shall have the meanings attributed to those terms for purposes of Section 422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SECTION9. STOCK APPRECIATION RIGHTS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 of Stock Appreciation Rights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Payment of SAR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an SAR, a Participant shall be entitled to receive payment in an amount determined by multiplying:</w:t>
      </w:r>
    </w:p>
    <w:p>
      <w:pPr>
        <w:spacing w:after="0" w:line="225"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Common Stock on the date of exercise over the grant price of the SAR by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SECTION10. STOCK AWARDS, RESTRICTED STOCK AND STOCK UNITS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Grant of Stock Awards, Restricted Stock and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of Restricted Stock and Stock Units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24"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of Restricted Stock covered by each Award of Restricted Stock shall become freely transferable by the Participant, and</w:t>
      </w:r>
    </w:p>
    <w:p>
      <w:pPr>
        <w:spacing w:after="0" w:line="225" w:lineRule="exact"/>
        <w:rPr>
          <w:rFonts w:ascii="Arial" w:cs="Arial" w:eastAsia="Arial" w:hAnsi="Arial"/>
          <w:sz w:val="18"/>
          <w:szCs w:val="18"/>
          <w:color w:val="auto"/>
        </w:rPr>
      </w:pPr>
    </w:p>
    <w:p>
      <w:pPr>
        <w:ind w:left="340" w:firstLine="316"/>
        <w:spacing w:after="0" w:line="277" w:lineRule="auto"/>
        <w:tabs>
          <w:tab w:leader="none" w:pos="9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Units shall be paid in shares of Common Stock or, if set forth in the instrument evidencing the Awards, in cash or a combination of cash and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fractional shares subject to such Awards shall be paid to the Participant in cash.</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SECTION11. PERFORMANCE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Performance Shares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Performance Units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SECTION12. OTHER STOCK OR CASH-BASED AWARDS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to the terms of the Plan and such other terms and conditions as the Committee deems appropriate, the Committee may grant other incentives payable in cash or in shares of Common Stock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SECTION13. 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require the Participant to pay to the Company the amount of:</w:t>
      </w:r>
    </w:p>
    <w:p>
      <w:pPr>
        <w:spacing w:after="0" w:line="225" w:lineRule="exact"/>
        <w:rPr>
          <w:sz w:val="20"/>
          <w:szCs w:val="20"/>
          <w:color w:val="auto"/>
        </w:rPr>
      </w:pPr>
    </w:p>
    <w:p>
      <w:pPr>
        <w:ind w:left="340" w:firstLine="316"/>
        <w:spacing w:after="0" w:line="277" w:lineRule="auto"/>
        <w:tabs>
          <w:tab w:leader="none" w:pos="9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taxes that the Company is required by applicable federal, state, local or foreign law to withhold with respect to the grant, vesting or exercise of an Award (“tax withholding obligations”);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amounts due from the Participant to the Company or to any Related Company (“other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81" w:lineRule="exact"/>
        <w:rPr>
          <w:sz w:val="20"/>
          <w:szCs w:val="20"/>
          <w:color w:val="auto"/>
        </w:rPr>
      </w:pPr>
    </w:p>
    <w:p>
      <w:pPr>
        <w:ind w:left="1200" w:hanging="220"/>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paying cash to the Company,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having the Company withhold an amount from any cash amounts otherwise due or to become due from the Company to the Participant,</w:t>
      </w:r>
    </w:p>
    <w:p>
      <w:pPr>
        <w:spacing w:after="0" w:line="248" w:lineRule="exact"/>
        <w:rPr>
          <w:rFonts w:ascii="Arial" w:cs="Arial" w:eastAsia="Arial" w:hAnsi="Arial"/>
          <w:sz w:val="16"/>
          <w:szCs w:val="16"/>
          <w:color w:val="auto"/>
        </w:rPr>
      </w:pPr>
    </w:p>
    <w:p>
      <w:pPr>
        <w:ind w:left="660" w:firstLine="320"/>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46" w:lineRule="exact"/>
        <w:rPr>
          <w:rFonts w:ascii="Arial" w:cs="Arial" w:eastAsia="Arial" w:hAnsi="Arial"/>
          <w:sz w:val="17"/>
          <w:szCs w:val="17"/>
          <w:color w:val="auto"/>
        </w:rPr>
      </w:pPr>
    </w:p>
    <w:p>
      <w:pPr>
        <w:ind w:left="660" w:right="20" w:firstLine="320"/>
        <w:spacing w:after="0" w:line="277" w:lineRule="auto"/>
        <w:tabs>
          <w:tab w:leader="none" w:pos="12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surrendering a number of shares of Common Stock the Participant already owns having a value equal to the tax withholding obligations and other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shares so withheld or tendered may not exceed the employer’s minimum required tax withholding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SECTION14. ASSIGNABILITY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SECTION15. ADJUSTMENTS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Adjustment of Shares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47" w:lineRule="exact"/>
        <w:rPr>
          <w:sz w:val="20"/>
          <w:szCs w:val="20"/>
          <w:color w:val="auto"/>
        </w:rPr>
      </w:pPr>
    </w:p>
    <w:p>
      <w:pPr>
        <w:ind w:left="340" w:firstLine="316"/>
        <w:spacing w:after="0" w:line="277" w:lineRule="auto"/>
        <w:tabs>
          <w:tab w:leader="none" w:pos="9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outstanding shares of Common Stock, or any securities exchanged therefor or received in their place, being exchanged for a different number or kind of securities of the Company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new, different or additional securities of the Company or any other company being received by the holders of shares of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then the Committee shall make proportional adjustments in</w:t>
      </w:r>
    </w:p>
    <w:p>
      <w:pPr>
        <w:spacing w:after="0" w:line="225" w:lineRule="exact"/>
        <w:rPr>
          <w:sz w:val="20"/>
          <w:szCs w:val="20"/>
          <w:color w:val="auto"/>
        </w:rPr>
      </w:pPr>
    </w:p>
    <w:p>
      <w:pPr>
        <w:ind w:left="1200" w:hanging="220"/>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maximum number and kind of securities available for issuance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maximum number and kind of securities issuable as Incentive Stock Options as set forth in subsection 4.2; and</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kind of securities that are subject to any outstanding Award and the per share price of such securities, without any change in the aggregate price to be paid therefor.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Dissolution or Liquidation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Change in Control</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24" w:lineRule="exact"/>
        <w:rPr>
          <w:sz w:val="20"/>
          <w:szCs w:val="20"/>
          <w:color w:val="auto"/>
        </w:rPr>
      </w:pPr>
    </w:p>
    <w:p>
      <w:pPr>
        <w:jc w:val="both"/>
        <w:ind w:left="340" w:firstLine="316"/>
        <w:spacing w:after="0" w:line="286" w:lineRule="auto"/>
        <w:tabs>
          <w:tab w:leader="none" w:pos="9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left="340" w:firstLine="316"/>
        <w:spacing w:after="0" w:line="255" w:lineRule="auto"/>
        <w:tabs>
          <w:tab w:leader="none" w:pos="9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193" w:lineRule="exact"/>
        <w:rPr>
          <w:rFonts w:ascii="Arial" w:cs="Arial" w:eastAsia="Arial" w:hAnsi="Arial"/>
          <w:sz w:val="18"/>
          <w:szCs w:val="18"/>
          <w:color w:val="auto"/>
        </w:rPr>
      </w:pPr>
    </w:p>
    <w:p>
      <w:pPr>
        <w:jc w:val="both"/>
        <w:ind w:left="340" w:firstLine="316"/>
        <w:spacing w:after="0" w:line="264" w:lineRule="auto"/>
        <w:tabs>
          <w:tab w:leader="none" w:pos="9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81" w:lineRule="exact"/>
        <w:rPr>
          <w:rFonts w:ascii="Arial" w:cs="Arial" w:eastAsia="Arial" w:hAnsi="Arial"/>
          <w:sz w:val="18"/>
          <w:szCs w:val="18"/>
          <w:color w:val="auto"/>
        </w:rPr>
      </w:pPr>
    </w:p>
    <w:p>
      <w:pPr>
        <w:ind w:left="1200" w:hanging="220"/>
        <w:spacing w:after="0"/>
        <w:tabs>
          <w:tab w:leader="none" w:pos="1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adjustments to the Plan and outstanding Awards as contemplated by subsection 15.1 or</w:t>
      </w:r>
    </w:p>
    <w:p>
      <w:pPr>
        <w:spacing w:after="0" w:line="225" w:lineRule="exact"/>
        <w:rPr>
          <w:rFonts w:ascii="Arial" w:cs="Arial" w:eastAsia="Arial" w:hAnsi="Arial"/>
          <w:sz w:val="18"/>
          <w:szCs w:val="18"/>
          <w:color w:val="auto"/>
        </w:rPr>
      </w:pPr>
    </w:p>
    <w:p>
      <w:pPr>
        <w:jc w:val="both"/>
        <w:ind w:left="660" w:firstLine="320"/>
        <w:spacing w:after="0" w:line="272" w:lineRule="auto"/>
        <w:tabs>
          <w:tab w:leader="none" w:pos="1265"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Further Adjustment of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u w:val="single" w:color="auto"/>
          <w:color w:val="auto"/>
        </w:rPr>
        <w:t>No Limitations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Fractional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u w:val="single" w:color="auto"/>
          <w:color w:val="auto"/>
        </w:rPr>
        <w:t>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in this Plan to the contrary,</w:t>
      </w:r>
    </w:p>
    <w:p>
      <w:pPr>
        <w:spacing w:after="0" w:line="225" w:lineRule="exact"/>
        <w:rPr>
          <w:sz w:val="20"/>
          <w:szCs w:val="20"/>
          <w:color w:val="auto"/>
        </w:rPr>
      </w:pPr>
    </w:p>
    <w:p>
      <w:pPr>
        <w:ind w:left="340" w:firstLine="316"/>
        <w:spacing w:after="0" w:line="308" w:lineRule="auto"/>
        <w:tabs>
          <w:tab w:leader="none" w:pos="92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46" w:lineRule="exact"/>
        <w:rPr>
          <w:rFonts w:ascii="Arial" w:cs="Arial" w:eastAsia="Arial" w:hAnsi="Arial"/>
          <w:sz w:val="17"/>
          <w:szCs w:val="17"/>
          <w:color w:val="auto"/>
        </w:rPr>
      </w:pPr>
    </w:p>
    <w:p>
      <w:pPr>
        <w:ind w:left="340" w:firstLine="316"/>
        <w:spacing w:after="0" w:line="277"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adjustments made pursuant to this Section 15 or any other amendments to Awards that are not considered “deferred compensation” subject to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be made in such a manner as to ensure that after such adjustment or amendment the Awards either</w:t>
      </w:r>
    </w:p>
    <w:p>
      <w:pPr>
        <w:spacing w:after="0" w:line="225" w:lineRule="exact"/>
        <w:rPr>
          <w:sz w:val="20"/>
          <w:szCs w:val="20"/>
          <w:color w:val="auto"/>
        </w:rPr>
      </w:pPr>
    </w:p>
    <w:p>
      <w:pPr>
        <w:ind w:left="1200" w:hanging="220"/>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not to be subject to Section 409A of the Code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the requirements of Section 409A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SECTION16. MARKET STANDOFF</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188" w:lineRule="exact"/>
        <w:rPr>
          <w:sz w:val="20"/>
          <w:szCs w:val="20"/>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180 days after the effective date of the registration statement for such public offering or</w:t>
      </w:r>
    </w:p>
    <w:p>
      <w:pPr>
        <w:spacing w:after="0" w:line="225" w:lineRule="exact"/>
        <w:rPr>
          <w:rFonts w:ascii="Arial" w:cs="Arial" w:eastAsia="Arial" w:hAnsi="Arial"/>
          <w:sz w:val="18"/>
          <w:szCs w:val="18"/>
          <w:color w:val="auto"/>
        </w:rPr>
      </w:pPr>
    </w:p>
    <w:p>
      <w:pPr>
        <w:ind w:left="340" w:firstLine="316"/>
        <w:spacing w:after="0" w:line="277" w:lineRule="auto"/>
        <w:tabs>
          <w:tab w:leader="none" w:pos="9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longer period requested by the underwriter as is necessary to comply with regulatory restrictions on the publication of research reports (including, but not limited to, NYSE Rule 472 or NASD Conduct Rule 2711).</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SECTION17. AMENDMENT AND TERMINATION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Amendment, Suspension or Termination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the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66" w:lineRule="exact"/>
        <w:rPr>
          <w:sz w:val="20"/>
          <w:szCs w:val="20"/>
          <w:color w:val="auto"/>
        </w:rPr>
      </w:pPr>
    </w:p>
    <w:p>
      <w:pPr>
        <w:ind w:left="900" w:hanging="24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adoption of the Plan by the Board; and</w:t>
      </w:r>
    </w:p>
    <w:p>
      <w:pPr>
        <w:spacing w:after="0" w:line="225" w:lineRule="exact"/>
        <w:rPr>
          <w:rFonts w:ascii="Arial" w:cs="Arial" w:eastAsia="Arial" w:hAnsi="Arial"/>
          <w:sz w:val="18"/>
          <w:szCs w:val="18"/>
          <w:color w:val="auto"/>
        </w:rPr>
      </w:pPr>
    </w:p>
    <w:p>
      <w:pPr>
        <w:ind w:right="380" w:firstLine="656"/>
        <w:spacing w:after="0" w:line="501"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adoption by the Board of any amendment to the Plan that constitutes the adoption of a new plan for purposes of Section 422 of the Code. 17.3 </w:t>
      </w:r>
      <w:r>
        <w:rPr>
          <w:rFonts w:ascii="Arial" w:cs="Arial" w:eastAsia="Arial" w:hAnsi="Arial"/>
          <w:sz w:val="18"/>
          <w:szCs w:val="18"/>
          <w:u w:val="single" w:color="auto"/>
          <w:color w:val="auto"/>
        </w:rPr>
        <w:t>Consent of Participant</w:t>
      </w:r>
    </w:p>
    <w:p>
      <w:pPr>
        <w:jc w:val="both"/>
        <w:spacing w:after="0" w:line="257" w:lineRule="auto"/>
        <w:rPr>
          <w:sz w:val="20"/>
          <w:szCs w:val="20"/>
          <w:color w:val="auto"/>
        </w:rPr>
      </w:pPr>
      <w:r>
        <w:rPr>
          <w:rFonts w:ascii="Arial" w:cs="Arial" w:eastAsia="Arial" w:hAnsi="Arial"/>
          <w:sz w:val="18"/>
          <w:szCs w:val="18"/>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SECTION18. GENERAL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u w:val="single" w:color="auto"/>
          <w:color w:val="auto"/>
        </w:rPr>
        <w:t>No Individual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u w:val="single" w:color="auto"/>
          <w:color w:val="auto"/>
        </w:rPr>
        <w:t>Issuance of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67" w:lineRule="exact"/>
        <w:rPr>
          <w:sz w:val="20"/>
          <w:szCs w:val="20"/>
          <w:color w:val="auto"/>
        </w:rPr>
      </w:pPr>
    </w:p>
    <w:p>
      <w:pPr>
        <w:ind w:left="340" w:firstLine="316"/>
        <w:spacing w:after="0" w:line="277" w:lineRule="auto"/>
        <w:tabs>
          <w:tab w:leader="none" w:pos="9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other action or agreement by the Participant as may from time to time be necessary to comply with the federal, state and foreign securities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67"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loss, cost, liability or expense is a result of such person’s own willful misconduct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indemnification is expressly prohibited by statute.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No Rights as a Stockholder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Compliance with Laws and Regulations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u w:val="single" w:color="auto"/>
          <w:color w:val="auto"/>
        </w:rPr>
        <w:t>Participants in Other Countries or Jurisdictions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u w:val="single" w:color="auto"/>
          <w:color w:val="auto"/>
        </w:rPr>
        <w:t>No Trust or Fund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u w:val="single" w:color="auto"/>
          <w:color w:val="auto"/>
        </w:rPr>
        <w:t>Choice of Law and Venue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u w:val="single" w:color="auto"/>
          <w:color w:val="auto"/>
        </w:rPr>
        <w:t>Legal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SECTION19. EFFECTIVE DATE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“Acquired Entity” means any entity acquired by the Company or a Related Company or with which the Company or a Related Company merges or combines.</w:t>
      </w:r>
    </w:p>
    <w:p>
      <w:pPr>
        <w:spacing w:after="0" w:line="235" w:lineRule="exact"/>
        <w:rPr>
          <w:sz w:val="20"/>
          <w:szCs w:val="20"/>
          <w:color w:val="auto"/>
        </w:rPr>
      </w:pPr>
    </w:p>
    <w:p>
      <w:pPr>
        <w:jc w:val="both"/>
        <w:ind w:left="340" w:hanging="323"/>
        <w:spacing w:after="0" w:line="262" w:lineRule="auto"/>
        <w:rPr>
          <w:sz w:val="20"/>
          <w:szCs w:val="20"/>
          <w:color w:val="auto"/>
        </w:rPr>
      </w:pPr>
      <w:r>
        <w:rPr>
          <w:rFonts w:ascii="Arial" w:cs="Arial" w:eastAsia="Arial" w:hAnsi="Arial"/>
          <w:sz w:val="18"/>
          <w:szCs w:val="18"/>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12" w:lineRule="exact"/>
        <w:rPr>
          <w:sz w:val="20"/>
          <w:szCs w:val="20"/>
          <w:color w:val="auto"/>
        </w:rPr>
      </w:pPr>
    </w:p>
    <w:p>
      <w:pPr>
        <w:jc w:val="both"/>
        <w:ind w:left="340" w:hanging="323"/>
        <w:spacing w:after="0" w:line="241" w:lineRule="auto"/>
        <w:rPr>
          <w:sz w:val="20"/>
          <w:szCs w:val="20"/>
          <w:color w:val="auto"/>
        </w:rPr>
      </w:pPr>
      <w:r>
        <w:rPr>
          <w:rFonts w:ascii="Arial" w:cs="Arial" w:eastAsia="Arial" w:hAnsi="Arial"/>
          <w:sz w:val="18"/>
          <w:szCs w:val="18"/>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190" w:lineRule="exact"/>
        <w:rPr>
          <w:sz w:val="20"/>
          <w:szCs w:val="20"/>
          <w:color w:val="auto"/>
        </w:rPr>
      </w:pPr>
    </w:p>
    <w:p>
      <w:pPr>
        <w:jc w:val="both"/>
        <w:ind w:left="340" w:hanging="323"/>
        <w:spacing w:after="0" w:line="248" w:lineRule="auto"/>
        <w:rPr>
          <w:sz w:val="20"/>
          <w:szCs w:val="20"/>
          <w:color w:val="auto"/>
        </w:rPr>
      </w:pPr>
      <w:r>
        <w:rPr>
          <w:rFonts w:ascii="Arial" w:cs="Arial" w:eastAsia="Arial" w:hAnsi="Arial"/>
          <w:sz w:val="18"/>
          <w:szCs w:val="18"/>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82" w:lineRule="exact"/>
        <w:rPr>
          <w:sz w:val="20"/>
          <w:szCs w:val="20"/>
          <w:color w:val="auto"/>
        </w:rPr>
      </w:pPr>
    </w:p>
    <w:p>
      <w:pPr>
        <w:ind w:left="340" w:firstLine="316"/>
        <w:spacing w:after="0" w:line="308" w:lineRule="auto"/>
        <w:tabs>
          <w:tab w:leader="none" w:pos="93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46" w:lineRule="exact"/>
        <w:rPr>
          <w:rFonts w:ascii="Arial" w:cs="Arial" w:eastAsia="Arial" w:hAnsi="Arial"/>
          <w:sz w:val="17"/>
          <w:szCs w:val="17"/>
          <w:color w:val="auto"/>
        </w:rPr>
      </w:pPr>
    </w:p>
    <w:p>
      <w:pPr>
        <w:ind w:left="1200" w:hanging="220"/>
        <w:spacing w:after="0"/>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(the “Outstanding Common Stock”) or</w:t>
      </w:r>
    </w:p>
    <w:p>
      <w:pPr>
        <w:spacing w:after="0" w:line="225" w:lineRule="exact"/>
        <w:rPr>
          <w:rFonts w:ascii="Arial" w:cs="Arial" w:eastAsia="Arial" w:hAnsi="Arial"/>
          <w:sz w:val="18"/>
          <w:szCs w:val="18"/>
          <w:color w:val="auto"/>
        </w:rPr>
      </w:pPr>
    </w:p>
    <w:p>
      <w:pPr>
        <w:ind w:left="660" w:firstLine="320"/>
        <w:spacing w:after="0" w:line="277" w:lineRule="auto"/>
        <w:tabs>
          <w:tab w:leader="none" w:pos="12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Voting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however, the following:</w:t>
      </w:r>
    </w:p>
    <w:p>
      <w:pPr>
        <w:spacing w:after="0" w:line="225" w:lineRule="exact"/>
        <w:rPr>
          <w:sz w:val="20"/>
          <w:szCs w:val="20"/>
          <w:color w:val="auto"/>
        </w:rPr>
      </w:pPr>
    </w:p>
    <w:p>
      <w:pPr>
        <w:ind w:left="660" w:right="20" w:firstLine="320"/>
        <w:spacing w:after="0" w:line="277" w:lineRule="auto"/>
        <w:tabs>
          <w:tab w:leader="none" w:pos="13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2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acquisition by any Person pursuant to a transaction which complies with clauses (b)(i), (b)(ii) and (b)(iii) of the definition of Company Transaction; or</w:t>
      </w:r>
    </w:p>
    <w:p>
      <w:pPr>
        <w:spacing w:after="0" w:line="170" w:lineRule="exact"/>
        <w:rPr>
          <w:rFonts w:ascii="Arial" w:cs="Arial" w:eastAsia="Arial" w:hAnsi="Arial"/>
          <w:sz w:val="18"/>
          <w:szCs w:val="18"/>
          <w:color w:val="auto"/>
        </w:rPr>
      </w:pPr>
    </w:p>
    <w:p>
      <w:pPr>
        <w:jc w:val="both"/>
        <w:ind w:left="340" w:firstLine="316"/>
        <w:spacing w:after="0" w:line="290" w:lineRule="auto"/>
        <w:tabs>
          <w:tab w:leader="none" w:pos="9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Company Transaction; or</w:t>
      </w:r>
    </w:p>
    <w:p>
      <w:pPr>
        <w:spacing w:after="0" w:line="225" w:lineRule="exact"/>
        <w:rPr>
          <w:rFonts w:ascii="Arial" w:cs="Arial" w:eastAsia="Arial" w:hAnsi="Arial"/>
          <w:sz w:val="18"/>
          <w:szCs w:val="18"/>
          <w:color w:val="auto"/>
        </w:rPr>
      </w:pPr>
    </w:p>
    <w:p>
      <w:pPr>
        <w:jc w:val="both"/>
        <w:ind w:left="340" w:firstLine="316"/>
        <w:spacing w:after="0" w:line="264" w:lineRule="auto"/>
        <w:tabs>
          <w:tab w:leader="none" w:pos="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means the consummation of</w:t>
      </w:r>
    </w:p>
    <w:p>
      <w:pPr>
        <w:spacing w:after="0" w:line="212" w:lineRule="exact"/>
        <w:rPr>
          <w:sz w:val="20"/>
          <w:szCs w:val="20"/>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or</w:t>
      </w:r>
    </w:p>
    <w:p>
      <w:pPr>
        <w:spacing w:after="0" w:line="225" w:lineRule="exact"/>
        <w:rPr>
          <w:rFonts w:ascii="Arial" w:cs="Arial" w:eastAsia="Arial" w:hAnsi="Arial"/>
          <w:sz w:val="18"/>
          <w:szCs w:val="18"/>
          <w:color w:val="auto"/>
        </w:rPr>
      </w:pPr>
    </w:p>
    <w:p>
      <w:pPr>
        <w:ind w:left="340" w:right="20" w:firstLine="316"/>
        <w:spacing w:after="0" w:line="277" w:lineRule="auto"/>
        <w:tabs>
          <w:tab w:leader="none" w:pos="9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direct and indirect subsidiaries taken as a whole, except in each case a transaction pursuant to which</w:t>
      </w:r>
    </w:p>
    <w:p>
      <w:pPr>
        <w:spacing w:after="0" w:line="170" w:lineRule="exact"/>
        <w:rPr>
          <w:rFonts w:ascii="Arial" w:cs="Arial" w:eastAsia="Arial" w:hAnsi="Arial"/>
          <w:sz w:val="18"/>
          <w:szCs w:val="18"/>
          <w:color w:val="auto"/>
        </w:rPr>
      </w:pPr>
    </w:p>
    <w:p>
      <w:pPr>
        <w:jc w:val="both"/>
        <w:ind w:left="660" w:firstLine="320"/>
        <w:spacing w:after="0" w:line="255" w:lineRule="auto"/>
        <w:tabs>
          <w:tab w:leader="none" w:pos="12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189" w:lineRule="exact"/>
        <w:rPr>
          <w:rFonts w:ascii="Arial" w:cs="Arial" w:eastAsia="Arial" w:hAnsi="Arial"/>
          <w:sz w:val="18"/>
          <w:szCs w:val="18"/>
          <w:color w:val="auto"/>
        </w:rPr>
      </w:pPr>
    </w:p>
    <w:p>
      <w:pPr>
        <w:jc w:val="both"/>
        <w:ind w:left="660" w:firstLine="320"/>
        <w:spacing w:after="0" w:line="259"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186" w:lineRule="exact"/>
        <w:rPr>
          <w:rFonts w:ascii="Arial" w:cs="Arial" w:eastAsia="Arial" w:hAnsi="Arial"/>
          <w:sz w:val="18"/>
          <w:szCs w:val="18"/>
          <w:color w:val="auto"/>
        </w:rPr>
      </w:pPr>
    </w:p>
    <w:p>
      <w:pPr>
        <w:ind w:left="660" w:firstLine="320"/>
        <w:spacing w:after="0" w:line="277" w:lineRule="auto"/>
        <w:tabs>
          <w:tab w:leader="none" w:pos="13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70" w:lineRule="exact"/>
        <w:rPr>
          <w:sz w:val="20"/>
          <w:szCs w:val="20"/>
          <w:color w:val="auto"/>
        </w:rPr>
      </w:pPr>
    </w:p>
    <w:p>
      <w:pPr>
        <w:ind w:left="340" w:hanging="323"/>
        <w:spacing w:after="0" w:line="262" w:lineRule="auto"/>
        <w:rPr>
          <w:sz w:val="20"/>
          <w:szCs w:val="20"/>
          <w:color w:val="auto"/>
        </w:rPr>
      </w:pPr>
      <w:r>
        <w:rPr>
          <w:rFonts w:ascii="Arial" w:cs="Arial" w:eastAsia="Arial" w:hAnsi="Arial"/>
          <w:sz w:val="18"/>
          <w:szCs w:val="18"/>
          <w:color w:val="auto"/>
        </w:rPr>
        <w:t>“Convertible Security” means any security convertible into or exchangeable for shares of Common Stock of the Company, or any option, warrant or other right to acquire shares of Common Stock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“Committee” has the meaning set forth in subsection 3.2.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“Company” means OptimizeRx Corporation, a Nevada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“Compensation Committee” means the Compensation Committee (if any) of the Board.</w:t>
      </w:r>
    </w:p>
    <w:p>
      <w:pPr>
        <w:spacing w:after="0" w:line="212" w:lineRule="exact"/>
        <w:rPr>
          <w:sz w:val="20"/>
          <w:szCs w:val="20"/>
          <w:color w:val="auto"/>
        </w:rPr>
      </w:pPr>
    </w:p>
    <w:p>
      <w:pPr>
        <w:jc w:val="both"/>
        <w:ind w:left="340" w:hanging="323"/>
        <w:spacing w:after="0" w:line="257" w:lineRule="auto"/>
        <w:rPr>
          <w:sz w:val="20"/>
          <w:szCs w:val="20"/>
          <w:color w:val="auto"/>
        </w:rPr>
      </w:pPr>
      <w:r>
        <w:rPr>
          <w:rFonts w:ascii="Arial" w:cs="Arial" w:eastAsia="Arial" w:hAnsi="Arial"/>
          <w:sz w:val="17"/>
          <w:szCs w:val="17"/>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has the meaning set forth in Section 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“Eligible Person” means any person eligible to receive an Award as set forth in Section 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“Entity” means any individual, entity or group (within the meaning of Section 13(d)(3) or Section 14(d)(2) of the Exchange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from time to time.</w:t>
      </w:r>
    </w:p>
    <w:p>
      <w:pPr>
        <w:spacing w:after="0" w:line="212" w:lineRule="exact"/>
        <w:rPr>
          <w:sz w:val="20"/>
          <w:szCs w:val="20"/>
          <w:color w:val="auto"/>
        </w:rPr>
      </w:pPr>
    </w:p>
    <w:p>
      <w:pPr>
        <w:jc w:val="both"/>
        <w:ind w:left="340" w:hanging="323"/>
        <w:spacing w:after="0" w:line="248" w:lineRule="auto"/>
        <w:rPr>
          <w:sz w:val="20"/>
          <w:szCs w:val="20"/>
          <w:color w:val="auto"/>
        </w:rPr>
      </w:pPr>
      <w:r>
        <w:rPr>
          <w:rFonts w:ascii="Arial" w:cs="Arial" w:eastAsia="Arial" w:hAnsi="Arial"/>
          <w:sz w:val="18"/>
          <w:szCs w:val="18"/>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“Grant Date” means the later of:</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date on which the Committee completes the corporate action authorizing the grant of an Award or such later date specified by the Committee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40" w:firstLine="316"/>
        <w:spacing w:after="0" w:line="277" w:lineRule="auto"/>
        <w:tabs>
          <w:tab w:leader="none" w:pos="9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all conditions precedent to an Award have been satisfied, provided that conditions to the exercisability or vesting of Awards shall not defer the Grant Date.</w:t>
      </w:r>
    </w:p>
    <w:p>
      <w:pPr>
        <w:spacing w:after="0" w:line="170" w:lineRule="exact"/>
        <w:rPr>
          <w:sz w:val="20"/>
          <w:szCs w:val="20"/>
          <w:color w:val="auto"/>
        </w:rPr>
      </w:pPr>
    </w:p>
    <w:p>
      <w:pPr>
        <w:ind w:left="340" w:right="20" w:hanging="323"/>
        <w:spacing w:after="0" w:line="262" w:lineRule="auto"/>
        <w:rPr>
          <w:sz w:val="20"/>
          <w:szCs w:val="20"/>
          <w:color w:val="auto"/>
        </w:rPr>
      </w:pPr>
      <w:r>
        <w:rPr>
          <w:rFonts w:ascii="Arial" w:cs="Arial" w:eastAsia="Arial" w:hAnsi="Arial"/>
          <w:sz w:val="18"/>
          <w:szCs w:val="18"/>
          <w:color w:val="auto"/>
        </w:rPr>
        <w:t>“Incentive Stock Option” means an Option granted with the intention that it qualify as an “incentive stock option” as that term is defined for purposes of Section 422 of the Code or any successor provision.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“including”, “include”, “includes” and words of similar import shall be construed broadly as if followed by the phrase “without limitation”.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other than an Incentive Stock Option.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“Option” means a right to purchase Common Stock granted under Section 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“Option Expiration Date” means the last day of the maximum term of an Option.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Common Stock” has the meaning set forth in the definition of “Change in Control.”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Voting Securities” has the meaning set forth in the definition of “Change in Control.”</w:t>
      </w:r>
    </w:p>
    <w:p>
      <w:pPr>
        <w:spacing w:after="0" w:line="212" w:lineRule="exact"/>
        <w:rPr>
          <w:sz w:val="20"/>
          <w:szCs w:val="20"/>
          <w:color w:val="auto"/>
        </w:rPr>
      </w:pPr>
    </w:p>
    <w:p>
      <w:pPr>
        <w:ind w:left="340" w:hanging="323"/>
        <w:spacing w:after="0" w:line="262" w:lineRule="auto"/>
        <w:rPr>
          <w:sz w:val="20"/>
          <w:szCs w:val="20"/>
          <w:color w:val="auto"/>
        </w:rPr>
      </w:pPr>
      <w:r>
        <w:rPr>
          <w:rFonts w:ascii="Arial" w:cs="Arial" w:eastAsia="Arial" w:hAnsi="Arial"/>
          <w:sz w:val="18"/>
          <w:szCs w:val="18"/>
          <w:color w:val="auto"/>
        </w:rPr>
        <w:t>“Parent Company” means a company or other entity which as a result of a Company Transaction owns the Company or all or substantially all of the Company’s assets either directly or through one or more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“Participant” means any Eligible Person to whom an Award is granted.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 Award of Performance Shares or Performance Units granted under Section 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means an Award of units denominated in shares of Common Stock granted under subsection 11.1.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“Performance Unit” means an Award of units denominated in cash or property other than shares of Common Stock granted under subsection 11.2.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“Plan” means this OptimizeRx Corporation 2013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‘‘Related Company” means any entity that is directly or indirectly controlled by, in control of or under common control with the Company.</w:t>
      </w:r>
    </w:p>
    <w:p>
      <w:pPr>
        <w:spacing w:after="0" w:line="212" w:lineRule="exact"/>
        <w:rPr>
          <w:sz w:val="20"/>
          <w:szCs w:val="20"/>
          <w:color w:val="auto"/>
        </w:rPr>
      </w:pPr>
    </w:p>
    <w:p>
      <w:pPr>
        <w:jc w:val="both"/>
        <w:ind w:left="340" w:hanging="323"/>
        <w:spacing w:after="0" w:line="262" w:lineRule="auto"/>
        <w:rPr>
          <w:sz w:val="20"/>
          <w:szCs w:val="20"/>
          <w:color w:val="auto"/>
        </w:rPr>
      </w:pPr>
      <w:r>
        <w:rPr>
          <w:rFonts w:ascii="Arial" w:cs="Arial" w:eastAsia="Arial" w:hAnsi="Arial"/>
          <w:sz w:val="18"/>
          <w:szCs w:val="18"/>
          <w:color w:val="auto"/>
        </w:rPr>
        <w:t>“Restricted Stock” means an Award of shares of Common Stock granted under Section 10, the rights of ownership of which are subject to restrictions prescribed by the Committee.</w:t>
      </w:r>
    </w:p>
    <w:p>
      <w:pPr>
        <w:spacing w:after="0" w:line="169" w:lineRule="exact"/>
        <w:rPr>
          <w:sz w:val="20"/>
          <w:szCs w:val="20"/>
          <w:color w:val="auto"/>
        </w:rPr>
      </w:pPr>
    </w:p>
    <w:p>
      <w:pPr>
        <w:jc w:val="both"/>
        <w:ind w:left="340" w:hanging="323"/>
        <w:spacing w:after="0" w:line="243" w:lineRule="auto"/>
        <w:rPr>
          <w:sz w:val="20"/>
          <w:szCs w:val="20"/>
          <w:color w:val="auto"/>
        </w:rPr>
      </w:pPr>
      <w:r>
        <w:rPr>
          <w:rFonts w:ascii="Arial" w:cs="Arial" w:eastAsia="Arial" w:hAnsi="Arial"/>
          <w:sz w:val="18"/>
          <w:szCs w:val="18"/>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 from time to time.</w:t>
      </w:r>
    </w:p>
    <w:p>
      <w:pPr>
        <w:spacing w:after="0" w:line="212" w:lineRule="exact"/>
        <w:rPr>
          <w:sz w:val="20"/>
          <w:szCs w:val="20"/>
          <w:color w:val="auto"/>
        </w:rPr>
      </w:pPr>
    </w:p>
    <w:p>
      <w:pPr>
        <w:jc w:val="both"/>
        <w:ind w:left="340" w:hanging="323"/>
        <w:spacing w:after="0" w:line="262" w:lineRule="auto"/>
        <w:rPr>
          <w:sz w:val="20"/>
          <w:szCs w:val="20"/>
          <w:color w:val="auto"/>
        </w:rPr>
      </w:pPr>
      <w:r>
        <w:rPr>
          <w:rFonts w:ascii="Arial" w:cs="Arial" w:eastAsia="Arial" w:hAnsi="Arial"/>
          <w:sz w:val="18"/>
          <w:szCs w:val="18"/>
          <w:color w:val="auto"/>
        </w:rPr>
        <w:t>“Stock Appreciation Right” or “SAR” means a right granted under subsection 9.1 to receive the excess of the Fair Market Value of a specified number of shares of Common Stock over the grant price.</w:t>
      </w:r>
    </w:p>
    <w:p>
      <w:pPr>
        <w:spacing w:after="0" w:line="169" w:lineRule="exact"/>
        <w:rPr>
          <w:sz w:val="20"/>
          <w:szCs w:val="20"/>
          <w:color w:val="auto"/>
        </w:rPr>
      </w:pPr>
    </w:p>
    <w:p>
      <w:pPr>
        <w:jc w:val="both"/>
        <w:ind w:left="340" w:right="20" w:hanging="323"/>
        <w:spacing w:after="0" w:line="262" w:lineRule="auto"/>
        <w:rPr>
          <w:sz w:val="20"/>
          <w:szCs w:val="20"/>
          <w:color w:val="auto"/>
        </w:rPr>
      </w:pPr>
      <w:r>
        <w:rPr>
          <w:rFonts w:ascii="Arial" w:cs="Arial" w:eastAsia="Arial" w:hAnsi="Arial"/>
          <w:sz w:val="18"/>
          <w:szCs w:val="18"/>
          <w:color w:val="auto"/>
        </w:rPr>
        <w:t>“Stock Award” means an Award of shares of Common Stock granted under Section 10, the rights of ownership of which are not subject to restrictions prescribed by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“Stock Unit” means an Award denominated in units of Common Stock granted under Section 10.</w:t>
      </w:r>
    </w:p>
    <w:p>
      <w:pPr>
        <w:spacing w:after="0" w:line="212" w:lineRule="exact"/>
        <w:rPr>
          <w:sz w:val="20"/>
          <w:szCs w:val="20"/>
          <w:color w:val="auto"/>
        </w:rPr>
      </w:pPr>
    </w:p>
    <w:p>
      <w:pPr>
        <w:jc w:val="both"/>
        <w:ind w:left="340" w:hanging="323"/>
        <w:spacing w:after="0" w:line="262" w:lineRule="auto"/>
        <w:rPr>
          <w:sz w:val="20"/>
          <w:szCs w:val="20"/>
          <w:color w:val="auto"/>
        </w:rPr>
      </w:pPr>
      <w:r>
        <w:rPr>
          <w:rFonts w:ascii="Arial" w:cs="Arial" w:eastAsia="Arial" w:hAnsi="Arial"/>
          <w:sz w:val="18"/>
          <w:szCs w:val="18"/>
          <w:color w:val="auto"/>
        </w:rPr>
        <w:t>“Substitute Awards” means Awards granted or shares of Common Stock issued by the Company in substitution or exchange for awards previously granted by an Acquired Entity.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“Successor Company” means the surviving company, the successor company or Parent Company, as applicable, in connection with a Company Transaction.</w:t>
      </w:r>
    </w:p>
    <w:p>
      <w:pPr>
        <w:spacing w:after="0" w:line="235" w:lineRule="exact"/>
        <w:rPr>
          <w:sz w:val="20"/>
          <w:szCs w:val="20"/>
          <w:color w:val="auto"/>
        </w:rPr>
      </w:pPr>
    </w:p>
    <w:p>
      <w:pPr>
        <w:jc w:val="both"/>
        <w:ind w:left="340" w:hanging="323"/>
        <w:spacing w:after="0" w:line="253" w:lineRule="auto"/>
        <w:rPr>
          <w:sz w:val="20"/>
          <w:szCs w:val="20"/>
          <w:color w:val="auto"/>
        </w:rPr>
      </w:pPr>
      <w:r>
        <w:rPr>
          <w:rFonts w:ascii="Arial" w:cs="Arial" w:eastAsia="Arial" w:hAnsi="Arial"/>
          <w:sz w:val="17"/>
          <w:szCs w:val="17"/>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25"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“Vesting Commencement Date” means the Grant Date or such other date selected by the Committee as the date from which an Award begins to vest.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ADOPTION AND AMENDMENTS/ADJUSTMENTS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80" w:type="dxa"/>
            <w:vAlign w:val="bottom"/>
          </w:tcPr>
          <w:p>
            <w:pPr>
              <w:jc w:val="center"/>
              <w:ind w:right="470"/>
              <w:spacing w:after="0"/>
              <w:rPr>
                <w:sz w:val="20"/>
                <w:szCs w:val="20"/>
                <w:color w:val="auto"/>
              </w:rPr>
            </w:pPr>
            <w:r>
              <w:rPr>
                <w:rFonts w:ascii="Arial" w:cs="Arial" w:eastAsia="Arial" w:hAnsi="Arial"/>
                <w:sz w:val="18"/>
                <w:szCs w:val="18"/>
                <w:b w:val="1"/>
                <w:bCs w:val="1"/>
                <w:color w:val="auto"/>
              </w:rPr>
              <w:t>SUMMARY PAGE</w:t>
            </w:r>
          </w:p>
        </w:tc>
        <w:tc>
          <w:tcPr>
            <w:tcW w:w="4260" w:type="dxa"/>
            <w:vAlign w:val="bottom"/>
          </w:tcPr>
          <w:p>
            <w:pPr>
              <w:spacing w:after="0"/>
              <w:rPr>
                <w:sz w:val="20"/>
                <w:szCs w:val="20"/>
                <w:color w:val="auto"/>
              </w:rPr>
            </w:pPr>
          </w:p>
        </w:tc>
      </w:tr>
      <w:tr>
        <w:trPr>
          <w:trHeight w:val="378"/>
        </w:trPr>
        <w:tc>
          <w:tcPr>
            <w:tcW w:w="3700" w:type="dxa"/>
            <w:vAlign w:val="bottom"/>
          </w:tcPr>
          <w:p>
            <w:pPr>
              <w:ind w:left="2380"/>
              <w:spacing w:after="0"/>
              <w:rPr>
                <w:sz w:val="20"/>
                <w:szCs w:val="20"/>
                <w:color w:val="auto"/>
              </w:rPr>
            </w:pPr>
            <w:r>
              <w:rPr>
                <w:rFonts w:ascii="Arial" w:cs="Arial" w:eastAsia="Arial" w:hAnsi="Arial"/>
                <w:sz w:val="18"/>
                <w:szCs w:val="18"/>
                <w:color w:val="auto"/>
              </w:rPr>
              <w:t>Date of Board</w:t>
            </w:r>
          </w:p>
        </w:tc>
        <w:tc>
          <w:tcPr>
            <w:tcW w:w="1080" w:type="dxa"/>
            <w:vAlign w:val="bottom"/>
          </w:tcPr>
          <w:p>
            <w:pPr>
              <w:ind w:left="400"/>
              <w:spacing w:after="0"/>
              <w:rPr>
                <w:sz w:val="20"/>
                <w:szCs w:val="20"/>
                <w:color w:val="auto"/>
              </w:rPr>
            </w:pPr>
            <w:r>
              <w:rPr>
                <w:rFonts w:ascii="Arial" w:cs="Arial" w:eastAsia="Arial" w:hAnsi="Arial"/>
                <w:sz w:val="18"/>
                <w:szCs w:val="18"/>
                <w:color w:val="auto"/>
              </w:rPr>
              <w:t>Action</w:t>
            </w:r>
          </w:p>
        </w:tc>
        <w:tc>
          <w:tcPr>
            <w:tcW w:w="2380" w:type="dxa"/>
            <w:vAlign w:val="bottom"/>
          </w:tcPr>
          <w:p>
            <w:pPr>
              <w:ind w:left="1040"/>
              <w:spacing w:after="0"/>
              <w:rPr>
                <w:sz w:val="20"/>
                <w:szCs w:val="20"/>
                <w:color w:val="auto"/>
              </w:rPr>
            </w:pPr>
            <w:r>
              <w:rPr>
                <w:rFonts w:ascii="Arial" w:cs="Arial" w:eastAsia="Arial" w:hAnsi="Arial"/>
                <w:sz w:val="18"/>
                <w:szCs w:val="18"/>
                <w:color w:val="auto"/>
              </w:rPr>
              <w:t>Section/Effect</w:t>
            </w:r>
          </w:p>
        </w:tc>
        <w:tc>
          <w:tcPr>
            <w:tcW w:w="4260" w:type="dxa"/>
            <w:vAlign w:val="bottom"/>
          </w:tcPr>
          <w:p>
            <w:pPr>
              <w:ind w:left="380"/>
              <w:spacing w:after="0"/>
              <w:rPr>
                <w:sz w:val="20"/>
                <w:szCs w:val="20"/>
                <w:color w:val="auto"/>
              </w:rPr>
            </w:pPr>
            <w:r>
              <w:rPr>
                <w:rFonts w:ascii="Arial" w:cs="Arial" w:eastAsia="Arial" w:hAnsi="Arial"/>
                <w:sz w:val="18"/>
                <w:szCs w:val="18"/>
                <w:color w:val="auto"/>
              </w:rPr>
              <w:t>Date of Shareholder</w:t>
            </w:r>
          </w:p>
        </w:tc>
      </w:tr>
      <w:tr>
        <w:trPr>
          <w:trHeight w:val="378"/>
        </w:trPr>
        <w:tc>
          <w:tcPr>
            <w:tcW w:w="3700" w:type="dxa"/>
            <w:vAlign w:val="bottom"/>
          </w:tcPr>
          <w:p>
            <w:pPr>
              <w:ind w:left="2380"/>
              <w:spacing w:after="0"/>
              <w:rPr>
                <w:sz w:val="20"/>
                <w:szCs w:val="20"/>
                <w:color w:val="auto"/>
              </w:rPr>
            </w:pPr>
            <w:r>
              <w:rPr>
                <w:rFonts w:ascii="Arial" w:cs="Arial" w:eastAsia="Arial" w:hAnsi="Arial"/>
                <w:sz w:val="18"/>
                <w:szCs w:val="18"/>
                <w:color w:val="auto"/>
              </w:rPr>
              <w:t>Action</w:t>
            </w:r>
          </w:p>
        </w:tc>
        <w:tc>
          <w:tcPr>
            <w:tcW w:w="1080" w:type="dxa"/>
            <w:vAlign w:val="bottom"/>
          </w:tcPr>
          <w:p>
            <w:pPr>
              <w:spacing w:after="0"/>
              <w:rPr>
                <w:sz w:val="24"/>
                <w:szCs w:val="24"/>
                <w:color w:val="auto"/>
              </w:rPr>
            </w:pPr>
          </w:p>
        </w:tc>
        <w:tc>
          <w:tcPr>
            <w:tcW w:w="2380" w:type="dxa"/>
            <w:vAlign w:val="bottom"/>
          </w:tcPr>
          <w:p>
            <w:pPr>
              <w:ind w:left="1040"/>
              <w:spacing w:after="0"/>
              <w:rPr>
                <w:sz w:val="20"/>
                <w:szCs w:val="20"/>
                <w:color w:val="auto"/>
              </w:rPr>
            </w:pPr>
            <w:r>
              <w:rPr>
                <w:rFonts w:ascii="Arial" w:cs="Arial" w:eastAsia="Arial" w:hAnsi="Arial"/>
                <w:sz w:val="18"/>
                <w:szCs w:val="18"/>
                <w:color w:val="auto"/>
              </w:rPr>
              <w:t>of Amendment</w:t>
            </w:r>
          </w:p>
        </w:tc>
        <w:tc>
          <w:tcPr>
            <w:tcW w:w="4260" w:type="dxa"/>
            <w:vAlign w:val="bottom"/>
          </w:tcPr>
          <w:p>
            <w:pPr>
              <w:ind w:left="380"/>
              <w:spacing w:after="0"/>
              <w:rPr>
                <w:sz w:val="20"/>
                <w:szCs w:val="20"/>
                <w:color w:val="auto"/>
              </w:rPr>
            </w:pPr>
            <w:r>
              <w:rPr>
                <w:rFonts w:ascii="Arial" w:cs="Arial" w:eastAsia="Arial" w:hAnsi="Arial"/>
                <w:sz w:val="18"/>
                <w:szCs w:val="18"/>
                <w:color w:val="auto"/>
              </w:rPr>
              <w:t>Approval</w:t>
            </w:r>
          </w:p>
        </w:tc>
      </w:tr>
      <w:tr>
        <w:trPr>
          <w:trHeight w:val="675"/>
        </w:trPr>
        <w:tc>
          <w:tcPr>
            <w:tcW w:w="3700" w:type="dxa"/>
            <w:vAlign w:val="bottom"/>
          </w:tcPr>
          <w:p>
            <w:pPr>
              <w:ind w:left="2300"/>
              <w:spacing w:after="0"/>
              <w:rPr>
                <w:sz w:val="20"/>
                <w:szCs w:val="20"/>
                <w:color w:val="auto"/>
              </w:rPr>
            </w:pPr>
            <w:r>
              <w:rPr>
                <w:rFonts w:ascii="Arial" w:cs="Arial" w:eastAsia="Arial" w:hAnsi="Arial"/>
                <w:sz w:val="18"/>
                <w:szCs w:val="18"/>
                <w:b w:val="1"/>
                <w:bCs w:val="1"/>
                <w:color w:val="auto"/>
              </w:rPr>
              <w:t>June 14, 2013</w:t>
            </w:r>
          </w:p>
        </w:tc>
        <w:tc>
          <w:tcPr>
            <w:tcW w:w="3460" w:type="dxa"/>
            <w:vAlign w:val="bottom"/>
            <w:gridSpan w:val="2"/>
          </w:tcPr>
          <w:p>
            <w:pPr>
              <w:ind w:left="300"/>
              <w:spacing w:after="0"/>
              <w:rPr>
                <w:sz w:val="20"/>
                <w:szCs w:val="20"/>
                <w:color w:val="auto"/>
              </w:rPr>
            </w:pPr>
            <w:r>
              <w:rPr>
                <w:rFonts w:ascii="Arial" w:cs="Arial" w:eastAsia="Arial" w:hAnsi="Arial"/>
                <w:sz w:val="18"/>
                <w:szCs w:val="18"/>
                <w:b w:val="1"/>
                <w:bCs w:val="1"/>
                <w:color w:val="auto"/>
              </w:rPr>
              <w:t>Initial Plan Adoption</w:t>
            </w:r>
          </w:p>
        </w:tc>
        <w:tc>
          <w:tcPr>
            <w:tcW w:w="4260" w:type="dxa"/>
            <w:vAlign w:val="bottom"/>
          </w:tcPr>
          <w:p>
            <w:pPr>
              <w:ind w:left="280"/>
              <w:spacing w:after="0"/>
              <w:rPr>
                <w:sz w:val="20"/>
                <w:szCs w:val="20"/>
                <w:color w:val="auto"/>
              </w:rPr>
            </w:pPr>
            <w:r>
              <w:rPr>
                <w:rFonts w:ascii="Arial" w:cs="Arial" w:eastAsia="Arial" w:hAnsi="Arial"/>
                <w:sz w:val="18"/>
                <w:szCs w:val="18"/>
                <w:b w:val="1"/>
                <w:bCs w:val="1"/>
                <w:color w:val="auto"/>
              </w:rPr>
              <w:t>June 14, 2013</w:t>
            </w:r>
          </w:p>
        </w:tc>
      </w:tr>
      <w:tr>
        <w:trPr>
          <w:trHeight w:val="486"/>
        </w:trPr>
        <w:tc>
          <w:tcPr>
            <w:tcW w:w="3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24"/>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380" w:type="dxa"/>
            <w:vAlign w:val="bottom"/>
          </w:tcPr>
          <w:p>
            <w:pPr>
              <w:jc w:val="right"/>
              <w:ind w:right="1270"/>
              <w:spacing w:after="0"/>
              <w:rPr>
                <w:sz w:val="20"/>
                <w:szCs w:val="20"/>
                <w:color w:val="auto"/>
              </w:rPr>
            </w:pPr>
            <w:r>
              <w:rPr>
                <w:rFonts w:ascii="Arial" w:cs="Arial" w:eastAsia="Arial" w:hAnsi="Arial"/>
                <w:sz w:val="18"/>
                <w:szCs w:val="18"/>
                <w:color w:val="auto"/>
              </w:rPr>
              <w:t>20</w:t>
            </w:r>
          </w:p>
        </w:tc>
        <w:tc>
          <w:tcPr>
            <w:tcW w:w="4260" w:type="dxa"/>
            <w:vAlign w:val="bottom"/>
          </w:tcPr>
          <w:p>
            <w:pPr>
              <w:spacing w:after="0"/>
              <w:rPr>
                <w:sz w:val="19"/>
                <w:szCs w:val="19"/>
                <w:color w:val="auto"/>
              </w:rPr>
            </w:pPr>
          </w:p>
        </w:tc>
      </w:tr>
    </w:tbl>
    <w:p>
      <w:pPr>
        <w:sectPr>
          <w:pgSz w:w="11900" w:h="16838" w:orient="portrait"/>
          <w:cols w:equalWidth="0" w:num="1">
            <w:col w:w="11420"/>
          </w:cols>
          <w:pgMar w:left="240" w:top="625" w:right="239"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17,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incorporation by reference in the Form S-8, Registration Statement Under the Securities Act of 1933, filed by OptimizeRx Corporation of our report dated March 8, 2013, relating to the financial statements of OptimizeRx Corporation, as of and for the years ending December 31,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Roman"/>
      <w:start w:val="1"/>
    </w:lvl>
    <w:lvl w:ilvl="1">
      <w:lvlJc w:val="left"/>
      <w:lvlText w:val="(%2)"/>
      <w:numFmt w:val="decimal"/>
      <w:start w:val="1"/>
    </w:lvl>
  </w:abstractNum>
  <w:abstractNum w:abstractNumId="6">
    <w:nsid w:val="75A2A8D4"/>
    <w:multiLevelType w:val="hybridMultilevel"/>
    <w:lvl w:ilvl="0">
      <w:lvlJc w:val="left"/>
      <w:lvlText w:val="(%1)"/>
      <w:numFmt w:val="lowerRoman"/>
      <w:start w:val="1"/>
    </w:lvl>
    <w:lvl w:ilvl="1">
      <w:lvlJc w:val="left"/>
      <w:lvlText w:val="(%2)"/>
      <w:numFmt w:val="decimal"/>
      <w:start w:val="2"/>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1)"/>
      <w:numFmt w:val="lowerLetter"/>
      <w:start w:val="1"/>
    </w:lvl>
    <w:lvl w:ilvl="1">
      <w:lvlJc w:val="left"/>
      <w:lvlText w:val="(%2)"/>
      <w:numFmt w:val="lowerRoman"/>
      <w:start w:val="1"/>
    </w:lvl>
  </w:abstractNum>
  <w:abstractNum w:abstractNumId="11">
    <w:nsid w:val="189A769B"/>
    <w:multiLevelType w:val="hybridMultilevel"/>
    <w:lvl w:ilvl="0">
      <w:lvlJc w:val="left"/>
      <w:lvlText w:val="%1"/>
      <w:numFmt w:val="lowerLetter"/>
      <w:start w:val="1"/>
    </w:lvl>
    <w:lvl w:ilvl="1">
      <w:lvlJc w:val="left"/>
      <w:lvlText w:val="(%2)"/>
      <w:numFmt w:val="lowerRoman"/>
      <w:start w:val="3"/>
    </w:lvl>
  </w:abstractNum>
  <w:abstractNum w:abstractNumId="12">
    <w:nsid w:val="54E49EB4"/>
    <w:multiLevelType w:val="hybridMultilevel"/>
    <w:lvl w:ilvl="0">
      <w:lvlJc w:val="left"/>
      <w:lvlText w:val="(%1)"/>
      <w:numFmt w:val="lowerLetter"/>
      <w:start w:val="2"/>
    </w:lvl>
    <w:lvl w:ilvl="1">
      <w:lvlJc w:val="left"/>
      <w:lvlText w:val="%2"/>
      <w:numFmt w:val="lowerRoman"/>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lowerLetter"/>
      <w:start w:val="3"/>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Roman"/>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lvl w:ilvl="1">
      <w:lvlJc w:val="left"/>
      <w:lvlText w:val="(%2)"/>
      <w:numFmt w:val="lowerRoman"/>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lvl w:ilvl="1">
      <w:lvlJc w:val="left"/>
      <w:lvlText w:val="(%2)"/>
      <w:numFmt w:val="lowerRoman"/>
      <w:start w:val="1"/>
    </w:lvl>
  </w:abstractNum>
  <w:abstractNum w:abstractNumId="36">
    <w:nsid w:val="5E884ADC"/>
    <w:multiLevelType w:val="hybridMultilevel"/>
    <w:lvl w:ilvl="0">
      <w:lvlJc w:val="left"/>
      <w:lvlText w:val="%1"/>
      <w:numFmt w:val="lowerLetter"/>
      <w:start w:val="1"/>
    </w:lvl>
    <w:lvl w:ilvl="1">
      <w:lvlJc w:val="left"/>
      <w:lvlText w:val="(%2)"/>
      <w:numFmt w:val="lowerRoman"/>
      <w:start w:val="3"/>
    </w:lvl>
  </w:abstractNum>
  <w:abstractNum w:abstractNumId="37">
    <w:nsid w:val="51EAD36B"/>
    <w:multiLevelType w:val="hybridMultilevel"/>
    <w:lvl w:ilvl="0">
      <w:lvlJc w:val="left"/>
      <w:lvlText w:val="(%1)"/>
      <w:numFmt w:val="lowerLetter"/>
      <w:start w:val="2"/>
    </w:lvl>
    <w:lvl w:ilvl="1">
      <w:lvlJc w:val="left"/>
      <w:lvlText w:val="%2"/>
      <w:numFmt w:val="lowerRoman"/>
      <w:start w:val="1"/>
    </w:lvl>
  </w:abstractNum>
  <w:abstractNum w:abstractNumId="38">
    <w:nsid w:val="2D517796"/>
    <w:multiLevelType w:val="hybridMultilevel"/>
    <w:lvl w:ilvl="0">
      <w:lvlJc w:val="left"/>
      <w:lvlText w:val="(%1)"/>
      <w:numFmt w:val="lowerLetter"/>
      <w:start w:val="3"/>
    </w:lvl>
  </w:abstractNum>
  <w:abstractNum w:abstractNumId="39">
    <w:nsid w:val="580BD78F"/>
    <w:multiLevelType w:val="hybridMultilevel"/>
    <w:lvl w:ilvl="0">
      <w:lvlJc w:val="left"/>
      <w:lvlText w:val="(%1)"/>
      <w:numFmt w:val="lowerLetter"/>
      <w:start w:val="1"/>
    </w:lvl>
    <w:lvl w:ilvl="1">
      <w:lvlJc w:val="left"/>
      <w:lvlText w:val="(%2)"/>
      <w:numFmt w:val="lowerRoman"/>
      <w:start w:val="1"/>
    </w:lvl>
  </w:abstractNum>
  <w:abstractNum w:abstractNumId="40">
    <w:nsid w:val="153EA43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2019-12-07T19:37:34Z</dcterms:created>
  <dcterms:modified xsi:type="dcterms:W3CDTF">2019-12-07T19:37:34Z</dcterms:modified>
</cp:coreProperties>
</file>