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3760" w:right="2320" w:hanging="1432"/>
        <w:spacing w:after="0" w:line="477" w:lineRule="auto"/>
        <w:tabs>
          <w:tab w:leader="none" w:pos="25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2024</w:t>
      </w:r>
    </w:p>
    <w:p>
      <w:pPr>
        <w:spacing w:after="0" w:line="41" w:lineRule="exact"/>
        <w:rPr>
          <w:rFonts w:ascii="MS PGothic" w:cs="MS PGothic" w:eastAsia="MS PGothic" w:hAnsi="MS PGothic"/>
          <w:sz w:val="18"/>
          <w:szCs w:val="18"/>
          <w:color w:val="auto"/>
        </w:rPr>
      </w:pPr>
    </w:p>
    <w:p>
      <w:pPr>
        <w:ind w:left="3520" w:right="2600" w:hanging="922"/>
        <w:spacing w:after="0" w:line="498" w:lineRule="auto"/>
        <w:tabs>
          <w:tab w:leader="none" w:pos="280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9"/>
        </w:trPr>
        <w:tc>
          <w:tcPr>
            <w:tcW w:w="7680" w:type="dxa"/>
            <w:vAlign w:val="bottom"/>
            <w:gridSpan w:val="13"/>
          </w:tcPr>
          <w:p>
            <w:pPr>
              <w:jc w:val="center"/>
              <w:ind w:left="3490"/>
              <w:spacing w:after="0" w:line="199" w:lineRule="exact"/>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001-38543</w:t>
            </w:r>
          </w:p>
        </w:tc>
        <w:tc>
          <w:tcPr>
            <w:tcW w:w="35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60" w:type="dxa"/>
            <w:vAlign w:val="bottom"/>
          </w:tcPr>
          <w:p>
            <w:pPr>
              <w:spacing w:after="0"/>
              <w:rPr>
                <w:sz w:val="20"/>
                <w:szCs w:val="20"/>
                <w:color w:val="auto"/>
              </w:rPr>
            </w:pPr>
          </w:p>
        </w:tc>
      </w:tr>
      <w:tr>
        <w:trPr>
          <w:trHeight w:val="453"/>
        </w:trPr>
        <w:tc>
          <w:tcPr>
            <w:tcW w:w="7680" w:type="dxa"/>
            <w:vAlign w:val="bottom"/>
            <w:gridSpan w:val="1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198"/>
        </w:trPr>
        <w:tc>
          <w:tcPr>
            <w:tcW w:w="5520" w:type="dxa"/>
            <w:vAlign w:val="bottom"/>
            <w:tcBorders>
              <w:top w:val="single" w:sz="8" w:color="auto"/>
            </w:tcBorders>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8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3560" w:type="dxa"/>
            <w:vAlign w:val="bottom"/>
          </w:tcPr>
          <w:p>
            <w:pPr>
              <w:spacing w:after="0"/>
              <w:rPr>
                <w:sz w:val="24"/>
                <w:szCs w:val="24"/>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11"/>
          </w:tcPr>
          <w:p>
            <w:pPr>
              <w:jc w:val="center"/>
              <w:ind w:right="1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3560" w:type="dxa"/>
            <w:vAlign w:val="bottom"/>
          </w:tcPr>
          <w:p>
            <w:pPr>
              <w:spacing w:after="0"/>
              <w:rPr>
                <w:sz w:val="17"/>
                <w:szCs w:val="17"/>
                <w:color w:val="auto"/>
              </w:rPr>
            </w:pPr>
          </w:p>
        </w:tc>
      </w:tr>
      <w:tr>
        <w:trPr>
          <w:trHeight w:val="20"/>
        </w:trPr>
        <w:tc>
          <w:tcPr>
            <w:tcW w:w="48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Times New Roman" w:cs="Times New Roman" w:eastAsia="Times New Roman" w:hAnsi="Times New Roman"/>
                <w:sz w:val="18"/>
                <w:szCs w:val="18"/>
                <w:b w:val="1"/>
                <w:bCs w:val="1"/>
                <w:color w:val="auto"/>
                <w:w w:val="99"/>
              </w:rPr>
              <w:t>248-651-6568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7680" w:type="dxa"/>
            <w:vAlign w:val="bottom"/>
            <w:gridSpan w:val="1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sectPr>
      </w:pPr>
    </w:p>
    <w:p>
      <w:pPr>
        <w:spacing w:after="0" w:line="135"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Large accelerated filer</w:t>
      </w:r>
    </w:p>
    <w:p>
      <w:pPr>
        <w:spacing w:after="0" w:line="70"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3" w:right="339" w:bottom="1440" w:gutter="0" w:footer="0" w:header="0"/>
          <w:type w:val="continuous"/>
        </w:sectPr>
      </w:pPr>
    </w:p>
    <w:p>
      <w:pPr>
        <w:spacing w:after="0" w:line="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18,420,906 common shares as of November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940" w:type="dxa"/>
            <w:vAlign w:val="bottom"/>
            <w:gridSpan w:val="7"/>
            <w:shd w:val="clear" w:color="auto" w:fill="CCEEFF"/>
          </w:tcPr>
          <w:p>
            <w:pPr>
              <w:jc w:val="center"/>
              <w:ind w:right="2380"/>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6"/>
          </w:tcPr>
          <w:p>
            <w:pPr>
              <w:ind w:left="14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6"/>
          </w:tcPr>
          <w:p>
            <w:pPr>
              <w:ind w:left="14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40" w:type="dxa"/>
            <w:vAlign w:val="bottom"/>
            <w:gridSpan w:val="6"/>
            <w:shd w:val="clear" w:color="auto" w:fill="CCEEFF"/>
          </w:tcPr>
          <w:p>
            <w:pPr>
              <w:jc w:val="center"/>
              <w:ind w:right="3100"/>
              <w:spacing w:after="0" w:line="176"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16"/>
          </w:tcPr>
          <w:p>
            <w:pPr>
              <w:ind w:left="14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16"/>
          </w:tcPr>
          <w:p>
            <w:pPr>
              <w:ind w:left="140"/>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Mine Safety Disclosure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16"/>
          </w:tcPr>
          <w:p>
            <w:pPr>
              <w:ind w:left="140"/>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16"/>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included in this Form 10-Q are as follows:</w:t>
      </w:r>
    </w:p>
    <w:p>
      <w:pPr>
        <w:spacing w:after="0" w:line="225" w:lineRule="exact"/>
        <w:rPr>
          <w:sz w:val="20"/>
          <w:szCs w:val="20"/>
          <w:color w:val="auto"/>
        </w:rPr>
      </w:pPr>
    </w:p>
    <w:p>
      <w:pPr>
        <w:ind w:left="1180" w:hanging="711"/>
        <w:spacing w:after="0"/>
        <w:tabs>
          <w:tab w:leader="none" w:pos="1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Condensed Consolidated Balance Sheets as of September 30, 2024 (unaudited) and December 31,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80" w:hanging="711"/>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ind w:left="1180" w:hanging="711"/>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Condensed Consolidated Statements of Changes in Stockholders’ Equity for the three and nine months September 30, 2024 and 2023</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0000FF"/>
        </w:rPr>
        <w:t>(unaudited);</w:t>
      </w:r>
    </w:p>
    <w:p>
      <w:pPr>
        <w:spacing w:after="0" w:line="9" w:lineRule="exact"/>
        <w:rPr>
          <w:sz w:val="20"/>
          <w:szCs w:val="20"/>
          <w:color w:val="auto"/>
        </w:rPr>
      </w:pPr>
    </w:p>
    <w:p>
      <w:pPr>
        <w:ind w:left="1180" w:hanging="711"/>
        <w:spacing w:after="0"/>
        <w:tabs>
          <w:tab w:leader="none" w:pos="1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-19050</wp:posOffset>
            </wp:positionV>
            <wp:extent cx="5562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2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5080" w:hanging="5111"/>
        <w:spacing w:after="0" w:line="530" w:lineRule="auto"/>
        <w:tabs>
          <w:tab w:leader="none" w:pos="119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000FF"/>
        </w:rPr>
        <w:t xml:space="preserve">Notes to Condensed Consolidated Financial Statements (unaudited). </w:t>
      </w:r>
      <w:r>
        <w:rPr>
          <w:rFonts w:ascii="Times New Roman" w:cs="Times New Roman" w:eastAsia="Times New Roman" w:hAnsi="Times New Roman"/>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$339 and $239 at September 30, 2024 and December 31,</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118,132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14,502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33,278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September 30, 2024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 December 31, 2023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20,069,432 and 19,899,679 shares issued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1,741,397 shares held at September 30, 2024 and December 31, 2023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198,737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(84,290)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21,309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59,811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7,862</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22,456</w:t>
            </w: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13,425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12,886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43,971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(4,597)</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18,323,542</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16,637,606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18,250,775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16,907,482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18,323,542</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16,637,606</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18,250,775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16,907,482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vMerge w:val="continue"/>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0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8"/>
                <w:szCs w:val="18"/>
                <w:color w:val="auto"/>
              </w:rPr>
            </w:pPr>
          </w:p>
        </w:tc>
        <w:tc>
          <w:tcPr>
            <w:tcW w:w="212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60" w:type="dxa"/>
            <w:vAlign w:val="bottom"/>
          </w:tcPr>
          <w:p>
            <w:pPr>
              <w:spacing w:after="0"/>
              <w:rPr>
                <w:sz w:val="20"/>
                <w:szCs w:val="20"/>
                <w:color w:val="auto"/>
              </w:rPr>
            </w:pPr>
          </w:p>
        </w:tc>
        <w:tc>
          <w:tcPr>
            <w:tcW w:w="2060" w:type="dxa"/>
            <w:vAlign w:val="bottom"/>
            <w:gridSpan w:val="6"/>
            <w:vMerge w:val="continue"/>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19,899,679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190,793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126,553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(6,900)</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19,921,879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193,677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122,537</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20,061,907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196,164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121,016</w:t>
            </w:r>
          </w:p>
        </w:tc>
        <w:tc>
          <w:tcPr>
            <w:tcW w:w="0" w:type="dxa"/>
            <w:vAlign w:val="bottom"/>
          </w:tcPr>
          <w:p>
            <w:pPr>
              <w:spacing w:after="0"/>
              <w:rPr>
                <w:sz w:val="1"/>
                <w:szCs w:val="1"/>
                <w:color w:val="auto"/>
              </w:rPr>
            </w:pPr>
          </w:p>
        </w:tc>
      </w:tr>
      <w:tr>
        <w:trPr>
          <w:trHeight w:val="21"/>
        </w:trPr>
        <w:tc>
          <w:tcPr>
            <w:tcW w:w="3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(9,124)</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20,069,432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198,737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114,465</w:t>
            </w:r>
          </w:p>
        </w:tc>
        <w:tc>
          <w:tcPr>
            <w:tcW w:w="0" w:type="dxa"/>
            <w:vAlign w:val="bottom"/>
          </w:tcPr>
          <w:p>
            <w:pPr>
              <w:spacing w:after="0"/>
              <w:rPr>
                <w:sz w:val="1"/>
                <w:szCs w:val="1"/>
                <w:color w:val="auto"/>
              </w:rPr>
            </w:pPr>
          </w:p>
        </w:tc>
      </w:tr>
      <w:tr>
        <w:trPr>
          <w:trHeight w:val="21"/>
        </w:trPr>
        <w:tc>
          <w:tcPr>
            <w:tcW w:w="3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24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20" w:type="dxa"/>
            <w:vAlign w:val="bottom"/>
            <w:gridSpan w:val="6"/>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60" w:type="dxa"/>
            <w:vAlign w:val="bottom"/>
          </w:tcPr>
          <w:p>
            <w:pPr>
              <w:spacing w:after="0"/>
              <w:rPr>
                <w:sz w:val="20"/>
                <w:szCs w:val="20"/>
                <w:color w:val="auto"/>
              </w:rPr>
            </w:pPr>
          </w:p>
        </w:tc>
        <w:tc>
          <w:tcPr>
            <w:tcW w:w="2240" w:type="dxa"/>
            <w:vAlign w:val="bottom"/>
            <w:gridSpan w:val="6"/>
            <w:vMerge w:val="continue"/>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18,288,571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(1,214,398)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172,786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126,111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(6,398)</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18,331,511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(1,214,398)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177,036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123,964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(526,999)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(4,161)</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18,376,771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173,050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(57,251)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115,815</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options exercised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restricted stock units vested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18,386,920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(1,741,397)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176,207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116,107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held-to-maturity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held-to-maturity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165,089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 including intellectual property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NATURE OF BUSINESS AND BASIS OF PRESENTATION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OptimizeRx Corporation and its wholly owned subsidiaries (collectively, the “Company”, “we”, “our”, or “us”).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technology platform embedded within a proprietary point-of-care network, as well as mass digital communications channels, OptimizeRx helps life sciences organizations engage and support their customers.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for the three and nine months ended September 30, 2024 and 2023 have been prepared by us without audit pursuant to the rules and regulations of the U.S. Securities and Exchange Commission (“SEC”). In the opinion of management, all adjustments necessary to present fairly our financial position at September 30, 2024, and our results of operations, changes in stockholders’ equity, and cash flows for the nine months ended September 30, 2024 and 2023, have been made. Those adjustments consist of normal and recurring adjustments. The condensed consolidated balance sheet as of December 31, 2023, has been derived from the audited consolidated condensed balance sheet as of that date. We operate a single reporting segment and, accordingly, use our consolidated net income as our measure of profit and loss and it is not presented separately here.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2023, as filed with the SEC on April 15, 2024 (“Form 10-K”).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2024, are not necessarily indicative of the results to be expected for the full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2023, the Company acquired 100% of the issued and outstanding preferred and common stock of Healthy Offers, Inc., a Nevada corporation d/b/a Medicx Health (“Medicx Health”) - See Part II, Item 8. Financials Statements and Supplementary Data; Note 3 - Acquisitions in our Form 10-K for additional information regarding this transaction.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pro forma consolidated statement of operations as if Medicx Health had been included in the consolidated results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three and nine months ended September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45"/>
        </w:trPr>
        <w:tc>
          <w:tcPr>
            <w:tcW w:w="46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280" w:type="dxa"/>
            <w:vAlign w:val="bottom"/>
          </w:tcPr>
          <w:p>
            <w:pPr>
              <w:spacing w:after="0"/>
              <w:rPr>
                <w:sz w:val="21"/>
                <w:szCs w:val="21"/>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Pro-forma consolidated statement of operations</w:t>
            </w: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Borders>
              <w:bottom w:val="single" w:sz="8" w:color="CCEEFF"/>
            </w:tcBorders>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23,852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67,291</w:t>
            </w:r>
          </w:p>
        </w:tc>
        <w:tc>
          <w:tcPr>
            <w:tcW w:w="100" w:type="dxa"/>
            <w:vAlign w:val="bottom"/>
            <w:shd w:val="clear" w:color="auto" w:fill="CCEEFF"/>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(18,141)</w:t>
            </w:r>
          </w:p>
        </w:tc>
      </w:tr>
      <w:tr>
        <w:trPr>
          <w:trHeight w:val="637"/>
        </w:trPr>
        <w:tc>
          <w:tcPr>
            <w:tcW w:w="46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amounts have been calculated after applying the Company’s accounting policies, adjusting Medicx Health results to reflect the additional amortization that would have been charged assuming the fair value adjustments to intangible assets had been applied on January 1, 2023, interest expense associated with the term loan and elimination of interest income on short-term investments that were used to fund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disposed of its non-core Access business - See Part II, Item 8. Financials Statements and Supplementary Data; Note 7 - Goodwill and Intangible Assets in our Form 10-K for additional information regarding this transaction. A pro forma statement of operations for the three and nine months ended September 30, 2024 is not presented for this transaction as the pro forma impacts were not material to the Company’s consolidated results.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presented in the pro forma financial consolidated statement of operations data above includes $1,088 and $4,169, respectively related to the Access and other non-core solutions for which no revenue was recorded in the three and nine months ended September 30, 2024 (see also the discussion under Net Revenues in Results of Operations for the three and nine months ended September 30, 2024 in Part I, Item 2. 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Accounting Estimate</w:t>
      </w:r>
    </w:p>
    <w:p>
      <w:pPr>
        <w:spacing w:after="0" w:line="2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In accordance with its policy, the Company periodically reviews the stand-alone selling prices of its performance obligations under </w:t>
      </w:r>
      <w:r>
        <w:rPr>
          <w:rFonts w:ascii="Times New Roman" w:cs="Times New Roman" w:eastAsia="Times New Roman" w:hAnsi="Times New Roman"/>
          <w:sz w:val="17"/>
          <w:szCs w:val="17"/>
          <w:i w:val="1"/>
          <w:iCs w:val="1"/>
          <w:color w:val="auto"/>
        </w:rPr>
        <w:t>Revenue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with Customers </w:t>
      </w:r>
      <w:r>
        <w:rPr>
          <w:rFonts w:ascii="Times New Roman" w:cs="Times New Roman" w:eastAsia="Times New Roman" w:hAnsi="Times New Roman"/>
          <w:sz w:val="17"/>
          <w:szCs w:val="17"/>
          <w:color w:val="auto"/>
        </w:rPr>
        <w:t>(“ASC Topic 606”) for use in allocating the contract prices. As a result, effective April 1, 2024, the Company updated the methodology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determining the value of program design and consulting services from the residual method to using an adjusted market assessment approach. The effect of this change in estimate was immaterial to the results for the three and nine months ended September 30, 2024, but may become material in future periods.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upon the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NEW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CASH, CASH EQUIVALENTS AND SHORT-TERM 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September 30, 2024 and December 31, 2023, we have recorded $8.2 million and none, respectively, of money market funds at approximate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CAPITALIZED SOFTWARE COSTS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consolidated statements of operations. Amortization of capitalized internal use software expense for the three and nine months ended September 30, 2024 and 2023 was $91 and $233 and $48 and $143, respectively. The Company accumulates capitalizable costs related to current projects in a construction in process (“CIP”) software account, the balance of which was $217 and $696 at September 30, 2024 and December 31,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GOODWILL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single reporting segment. The goodwill is related to the acquisitions of Medicx Health in 2023, EvinceMed in 2022, RMDY Health, Inc. in 2019 and CareSpeak Communications in 2018. Goodwill is not amortizable for financial statement purposes. Goodwill is tested for impairment at a reporting segment level at least annually, as of December 31, or on an interim basis if an event occurs or circumstances change (a “Triggering Event”).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the carrying amounts of goodwill were $70.9 million and $78.4 million, respectively. A noncash charge of $7.5 million, representing the amount by which the Company’s book value exceeds its estimated fair value, was recorded as a goodwill impairment in the three months ended September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LONG-TERM DEBT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11, 2023, in connection with the acquisition of Medicx Health, we entered into a financing agreement that provided for a $40 million term loan (the “Term Loan”).</w:t>
      </w:r>
    </w:p>
    <w:p>
      <w:pPr>
        <w:sectPr>
          <w:pgSz w:w="11900" w:h="16838" w:orient="portrait"/>
          <w:cols w:equalWidth="0" w:num="1">
            <w:col w:w="11240"/>
          </w:cols>
          <w:pgMar w:left="320" w:top="873"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comprised the following at September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due in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unamortized issuance costs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8" w:lineRule="exact"/>
        <w:rPr>
          <w:sz w:val="20"/>
          <w:szCs w:val="20"/>
          <w:color w:val="auto"/>
        </w:rPr>
      </w:pPr>
    </w:p>
    <w:p>
      <w:pPr>
        <w:ind w:left="645" w:hanging="645"/>
        <w:spacing w:after="0"/>
        <w:tabs>
          <w:tab w:leader="none" w:pos="6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36,790</w:t>
      </w:r>
    </w:p>
    <w:p>
      <w:pPr>
        <w:spacing w:after="0" w:line="27" w:lineRule="exact"/>
        <w:rPr>
          <w:rFonts w:ascii="Times New Roman" w:cs="Times New Roman" w:eastAsia="Times New Roman" w:hAnsi="Times New Roman"/>
          <w:sz w:val="18"/>
          <w:szCs w:val="18"/>
          <w:color w:val="auto"/>
        </w:rPr>
      </w:pPr>
    </w:p>
    <w:p>
      <w:pPr>
        <w:ind w:left="6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(2,000)</w:t>
      </w:r>
    </w:p>
    <w:p>
      <w:pPr>
        <w:spacing w:after="0" w:line="20" w:lineRule="exact"/>
        <w:rPr>
          <w:rFonts w:ascii="Times New Roman" w:cs="Times New Roman" w:eastAsia="Times New Roman" w:hAnsi="Times New Roman"/>
          <w:sz w:val="18"/>
          <w:szCs w:val="18"/>
          <w:color w:val="auto"/>
        </w:rPr>
      </w:pPr>
    </w:p>
    <w:p>
      <w:pPr>
        <w:ind w:left="66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(1,512)</w:t>
      </w:r>
    </w:p>
    <w:p>
      <w:pPr>
        <w:spacing w:after="0" w:line="70" w:lineRule="exact"/>
        <w:rPr>
          <w:sz w:val="20"/>
          <w:szCs w:val="20"/>
          <w:color w:val="auto"/>
        </w:rPr>
      </w:pPr>
    </w:p>
    <w:p>
      <w:pPr>
        <w:ind w:left="645" w:hanging="645"/>
        <w:spacing w:after="0"/>
        <w:tabs>
          <w:tab w:leader="none" w:pos="6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200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18" w:lineRule="exact"/>
        <w:rPr>
          <w:sz w:val="20"/>
          <w:szCs w:val="20"/>
          <w:color w:val="auto"/>
        </w:rPr>
      </w:pPr>
    </w:p>
    <w:p>
      <w:pPr>
        <w:ind w:left="620" w:hanging="615"/>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38,290</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w:t>
      </w:r>
    </w:p>
    <w:p>
      <w:pPr>
        <w:spacing w:after="0" w:line="9"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(2,059)</w:t>
      </w:r>
    </w:p>
    <w:p>
      <w:pPr>
        <w:spacing w:after="0" w:line="58" w:lineRule="exact"/>
        <w:rPr>
          <w:sz w:val="20"/>
          <w:szCs w:val="20"/>
          <w:color w:val="auto"/>
        </w:rPr>
      </w:pPr>
    </w:p>
    <w:p>
      <w:pPr>
        <w:ind w:left="620" w:hanging="615"/>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85" w:space="160"/>
            <w:col w:w="1220"/>
          </w:cols>
          <w:pgMar w:left="320" w:top="873" w:right="339" w:bottom="1440" w:gutter="0" w:footer="0" w:header="0"/>
          <w:type w:val="continuous"/>
        </w:sectPr>
      </w:pP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Term Loan bears interest at 14.0%, with an effective rate of 16.1%, including the impact of the amortization of debt issuance costs of $182 and $547 for the three and nine months ended September 30,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2024, we entered into Amendment No. 2 to the financing agreement, which extended the test period for measurement of the leverage ratio and qualified cash measurements from September 30, 2024 to October 15,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was in full compliance with the financial covenants associated with the Term Loan.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is repayable in quarterly installments, beginning December 31, 2023, equivalent to 1.25% or $0.5 million, of the original principal amount, with the outstanding unpaid principal and all accrued but unpaid interest due and payable on the earlier of (i) the fourth anniversary of the closing date of the Term Loan or (ii) the date on which the Term Loan is declared due and payable pursuant to the terms of the financing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in the calculation of Consolidated EBITDA, adjusted for any increase/decrease in working capital during the fiscal year.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Repayments of the Term Loan due under the terms of the financing agreement, including an estimate of the amount associated with the Excess Cash Flow calculation discussed above, for the remainder of the current and in each of the next three fiscal years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61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6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6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1"/>
                <w:szCs w:val="21"/>
                <w:color w:val="auto"/>
              </w:rPr>
            </w:pPr>
          </w:p>
        </w:tc>
        <w:tc>
          <w:tcPr>
            <w:tcW w:w="6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36,790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operating leases with terms greater than 12 months for office space in four multi-tenant facilities, which are recorded as Operating lease right-of-use assets and Operating lease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the Company’s lease costs consist of the following components, each of which is included in operating expenses within the Company’s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2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220" w:type="dxa"/>
            <w:vAlign w:val="bottom"/>
            <w:gridSpan w:val="4"/>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future minimum lease payments to be made under operating leases in each of the remainder of the current and next four fiscal years and thereafter: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remaining lease term at September 30, 2024 for the operating leases is 2.7 years, and the weighted average discount rate used in calculating the operating leases assets and liabilities is 6.96%. Cash paid for amounts included in the measurement of lease liabilities was $168 and $53 for the nine months ended September 30, 2024 and 2023, respectively. For the nine months ended September 30, 2024 and 2023, payments on lease obligations were $193 and $60, respectively, and amortization on the right of use assets was $175 and $61,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10,000,000 shares of preferred stock, $0.001 par value per share, authorized as of September 30, 2024. No shares were issued or outstanding in either 2024 or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166,666,667 shares of common stock, $0.001 par value per share, authorized as of September 30, 2024. There were 18,328,035 and 18,158,282 shares of common stock outstanding, net of shares held in treasury of 1,741,397 at September 30, 2024 and December 31, 2023,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each of the quarters ended March 31, 2024, June 30, 2024 and September 30, 2024, no shares of our common stock were issued, and no proceeds were received in connection with the exercise of options under our 2013 Incentive Plan and our 2021 Equity Incentive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quarters ended March 31, 2024, June 30, 2024 and September 30, 2024, 22,200, 140,028 and 7,525 shares of common stock, respectively, were issued in connection with the vesting of restricted stock units under our 2013 Incentive Plan and our 2021 Equity Incentive Plan. Some of the participants utilized a net withhold settlement method, in which shares were surrendered to cover payroll withholding taxes. Of the shares issued to participants during the nine months ended September 30, 2024, a total of 52,092 shares, valued at $585,571, were surrendered and subsequently cancelled.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quarters ended March 31, 2023, June 30, 2023 and September 30, 2023, the Company issued 9,668, 10,000 and 0 shares of our common stock and received proceeds of $40, $105 and $0, respectively, in connection with the exercise of options under our 2013 Incentive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quarters ended March 31, 2023, June 30, 2023 and September 30, 2023, the Company issued 33,272, 35,260 and 10,149 shares of common stock in connection with the vesting of restricted stock units under our 2013 Incentive Plan and our 2021 Equity Incentive Plan. 28,157 shares valued at $121 were surrendered in connection with the net withhold settlement method, and were subsequently cancelled.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2023, the Board authorized a share repurchase program, under which the Company could repurchase up to $15.0 million of its outstanding common stock. This stock repurchase authorization expired on March 12, 2024. There were no shares repurchased in 2024 prior to the expiration.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repurchased none and 526,999 shares of common stock, respectively, under this program for a total of $7,522, including commissions paid on repurchases. These shares were recorded as treasury shares using the par value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STOCK 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2024, at the 2024 Annual Meeting of Stockholders, the Company’s stockholders approved an amendment to the 2021 Equity Incentive Plan to increase the number of shares of common stock available for awards under the 2021 Equity Incentive Plan by 1,950,000 shares for a total of 4,450,000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expense related to options for the nine months ended September 30, 2024 and 2023 was $3,494 and $4,720, respectively. The fair value of these instruments was calculated using the Black-Scholes option pricing model. There is $4,115 of remaining expense related to unvested options to be recognized in the future over a weighted average period of 1.57 years. The total intrinsic value of outstanding options at September 30, 2024 was $8.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granted certain performance-based stock options, the expense for which will be recorded over time once the achievement of the performance is deemed probable. There was $8 and $16 in expense related to these options recorded during the three and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$5,036 and $6,370 in compensation expense related to restricted stock units for the nine months ended September 30, 2024 and 2023, respectively. A total of $6,793 remains to be recognized at September 30, 2024 over a weighted average period of 1.6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the Company granted certain performance based restricted stock units, the expense for which will be recorded over time once the achievement of the performance is deemed probable. There was $8 and $16 in expense related to these restricted stock units recorded during the three and nine months ended September 30,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compensation program calls for the grant of restricted stock units with a one year vesting period. There was $591 and $541 included in the compensation expense discussed above related to director’s compensation for the periods ended September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REVENUES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Topic 606,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$6,002 and $3,288 at September 30, 2024, and December 31, 2023, respectively. Amounts billed in advance of revenue recognition are presented as deferred revenue on the condensed consolidated balance sheets.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Company’s contracts are generally less than one year and the primary performance obligation is delivery of messages, or content, but the contract may contain additional services. Additional services may include program design, which is the design of the content delivery program, set up, and reporting.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set up and reporting services to be complimentary to the primary performance obligation and recognized through performance of the delivery of content. We consider program design and related consulting services to be performance obligations separate from the delivery of messages. Revenue is recognized at the point in time when the work product is delivered to the customer. The net contract balance for contracts in progress at September 30, 2024 and December 31, 2023, was $23,191 and $2,021, respectively. The outstanding performance obligations are expected to be satisfied during the year ended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certain circumstances, the Company will offer sales rebates to customers based on spend volume. Rebates are contracted based on a quarterly or annual spend amount and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2023 and during the first nine months of 2024, there were two contracts with customers that included a rebate clause.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content is distributed through the platform and network of channel partners (a transaction), these transactions are recorded, and transaction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instances, we also resell messaging solutions that are available through channel partners that are complementary to the core business and client base. These partner specific solutions are frequently similar to our own solutions and revenue recognition for these programs is the same as described above. In instances where we sell solutions on a commission basis, net revenue is recognized based on the commission-based revenue split that we receive. In instances where we resell these messaging solutions and have all financial risk and significant operation input and risk, we record the revenue based on the gross amount sold and the amount paid to the channel partner as a cost of sales.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several signed contracts with customers for the distribution of messaging, or other services, which include payment in advance. The payments are not recorded as revenue until the revenue is earned under our revenue recognition policy. Deferred revenue was $786 and $172 as of September 30, 2024 and December 31, 2023, respectively. The contracts are all short term in nature and all revenue is expected to be recognized within 12 months, or less. The following is a summary of activity for the deferred revenue account for the nine months ended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CCEEFF"/>
            </w:tcBorders>
          </w:tcPr>
          <w:p>
            <w:pPr>
              <w:spacing w:after="0"/>
              <w:rPr>
                <w:sz w:val="21"/>
                <w:szCs w:val="21"/>
                <w:color w:val="auto"/>
              </w:rPr>
            </w:pPr>
          </w:p>
        </w:tc>
        <w:tc>
          <w:tcPr>
            <w:tcW w:w="5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5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March 31</w:t>
            </w:r>
          </w:p>
        </w:tc>
        <w:tc>
          <w:tcPr>
            <w:tcW w:w="5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16"/>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w:t>
            </w:r>
          </w:p>
        </w:tc>
        <w:tc>
          <w:tcPr>
            <w:tcW w:w="5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collected</w:t>
            </w:r>
          </w:p>
        </w:tc>
        <w:tc>
          <w:tcPr>
            <w:tcW w:w="5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September 30</w:t>
            </w:r>
          </w:p>
        </w:tc>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5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1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21,309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43,153</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changes in the allowance for credit losses for the nine months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4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49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March 31,</w:t>
            </w:r>
          </w:p>
        </w:tc>
        <w:tc>
          <w:tcPr>
            <w:tcW w:w="49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4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4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4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4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4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vMerge w:val="continue"/>
          </w:tcPr>
          <w:p>
            <w:pPr>
              <w:spacing w:after="0"/>
              <w:rPr>
                <w:sz w:val="20"/>
                <w:szCs w:val="20"/>
                <w:color w:val="auto"/>
              </w:rPr>
            </w:pPr>
          </w:p>
        </w:tc>
        <w:tc>
          <w:tcPr>
            <w:tcW w:w="578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98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 party transactions include transactions between the Company and its shareholders, management, or affiliates. The following transactions were in the normal course of operations and were measured and recorded at the exchange amount, which is the amount of consideration established and agreed to by the parties. During the three months ended September 30, 2024 we sold to Eversana and LifeMD resulting in $0.2 million recognized revenue where one or more of our executive officers or members of our Board of Directors were, during the periods presented, an executive officer or a board member. All of the related party transactions were made at current market rates.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LOSS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by the weighted average number of common shares outstanding during the period.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number of shares related to options and restricted stock units included in diluted EPS is based on the “Treasury Stock Method” prescribed in ASC 260-10,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18,323,542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16,637,606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18,250,775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16,907,482</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stock options, warrants, and stock grants</w:t>
            </w:r>
          </w:p>
        </w:tc>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18,323,542</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16,637,606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18,250,775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16,907,482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(0.50)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common shares potentially issuable upon the exercise of certain options and the vesting of certain restricted stock units that were excluded from the diluted loss per common share calculation are reflected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for the periods ended</w:t>
            </w:r>
          </w:p>
        </w:tc>
        <w:tc>
          <w:tcPr>
            <w:tcW w:w="1000" w:type="dxa"/>
            <w:vAlign w:val="bottom"/>
            <w:gridSpan w:val="2"/>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 awards</w:t>
            </w:r>
          </w:p>
        </w:tc>
        <w:tc>
          <w:tcPr>
            <w:tcW w:w="1000" w:type="dxa"/>
            <w:vAlign w:val="bottom"/>
            <w:gridSpan w:val="2"/>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73,938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138,074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7"/>
        </w:trPr>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shd w:val="clear" w:color="auto" w:fill="CCEEFF"/>
          </w:tcPr>
          <w:p>
            <w:pPr>
              <w:spacing w:after="0"/>
              <w:rPr>
                <w:sz w:val="21"/>
                <w:szCs w:val="21"/>
                <w:color w:val="auto"/>
              </w:rPr>
            </w:pPr>
          </w:p>
        </w:tc>
        <w:tc>
          <w:tcPr>
            <w:tcW w:w="1000" w:type="dxa"/>
            <w:vAlign w:val="bottom"/>
            <w:gridSpan w:val="2"/>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41,077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excepts share and per share data,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partners to acquire minimum amounts of media, data or messaging capabilities. As of September 30, 2024, the Company had commitments for future minimum payments of $16.7 million that will be reflected in cost of revenues during the years from 2024 through 2028. Minimum payments are due in the remainder of 2024 and fiscal 2025, 2026, 2027 and 2028 in the amounts of $1.8 million, $8.8 million, $3.6 million, $2.4 million and $0.1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INCOME TAXES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reported a benefit from income taxes of $817 and $1,561 for the three and nine months ended September 30, 2024, representing an effective tax rate of 8.2% and 7.2%. The effective tax rate for the three and nine months ended September 30, 2024 reflects the impact of certain permanent items, projected increases in our valuation allowance during the year and discrete items for the quarter related to stock based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provision for or benefit from taxes in the three and nine months ended September 30, 2023, as we carried a full valuation allowance against our net deferred tax assets due to our history of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2023, we had net operating loss carry-forwards for federal income tax purposes of approximately $16.7 million as of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2024, we made a voluntary principal payment of $2 million on our Term Loan balance.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acquisition activities may disrupt ongoing business and may involve increased expenses; inability to realize the financial and strategic goals contemplated at the time of a transaction; inability to realize any synergies or other anticipated benefits of an acquisition or that such synergies or benefits may take longer than anticipated to be realized; risk that the integration with an acquired entity may be more costly or difficult than expected; impairment charges for goodwill or other intangible assets may be increased as we shift our focus away from our non-core businesses; inability to comply with the restrictions in our credit agreement; inability to generate sufficient cash to service debt and fund other obligations;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2023. Moreover, we operate in a rapidly changing and competitive environment. New risk factors emerge from time to time, and it is not possible for management to predict all such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digital health technology company enabling care-focused engagement between life sciences organizations, healthcare providers, and patients at critical junctures throughout the patient care journey. Connecting over two million U.S. healthcare providers and millions of their patients through an intelligent omnichannel technology platform embedded within a proprietary point-of-care network, as well as mass digital communications channels, OptimizeRx helps life sciences organizations engage and support their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our revenue was generated primarily through the facilitation of various types of messages to health care providers via their EHR systems and ERx platforms using the OptimizeRx proprietary network to solve the ever-increasing communication barriers between pharmaceutical representatives and healthcare providers that have presented in the rapidly changing healthcare industry. Over time, the demand for different types of communication and marketing solutions among life sciences organizations, healthcare providers, and patients led us to expand upon our initial solutions to increase the variety of health-related information we deliver, as well as the platforms, technology, media distribution channels, and audiences through and to which we deliver. In addition, the October 2023 acquisition of Medicx Health provided the Company with a significant footprint for direct-to-consumer healthcare marketing. Today, we offer diverse tech-enabled marketing solutions through our AI-generated DAAP, using sophisticated machine-learning algorithms to find the best audiences in the correct channels at the right time. Customers are able to execute traditional marketing campaigns on our proprietary digital point-of-care network, as well as dynamic marketing campaigns that optimize audiences in real time to increase the value of treatment information for healthcare professionals and patients in response to clinical care events. We employ a “land and expand” strategy focused on growing our existing client base and generating greater and more consistent revenues in part through the continued shift in our business model toward enterprise level engagements, while also broadening our omnichannel network. Our strategy for driving revenue growth is also expected to work in tandem with our efforts to increase margin and profitability as revenue drivers such as DAAP have inherently higher margins than most other messaging solutions we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 Our top five customers represented approximately 44% and 39% of our revenue for the years ended December 31, 2023 and December 31, 2022, respectively. In each of 2023 and 2022, we had one customer that each represented more than 10% of our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Unfavorable conditions in the economy may negatively affect the growth of our business and our results of operations. For example, macroeconomic events including volatility of inflation and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Average revenue per top 20 pharmaceutical manufacturer. </w:t>
      </w:r>
      <w:r>
        <w:rPr>
          <w:rFonts w:ascii="Times New Roman" w:cs="Times New Roman" w:eastAsia="Times New Roman" w:hAnsi="Times New Roman"/>
          <w:sz w:val="18"/>
          <w:szCs w:val="18"/>
          <w:color w:val="auto"/>
        </w:rPr>
        <w:t>Average revenue per top 20 pharmaceutical manufacturer is calculated by taking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the Company recognized through pharmaceutical manufacturers listed in Fierce Pharma’s “The top 20 pharma companies by 2023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twelve months ended September 30, 2024 as compared to the twelve months ended September 30, 2023 is primarily the result of stronger DAAP related revenue streams and the Company’s October 2023 acquisition of Medicx Health, which added to 2024 revenues and was not included in the 2023 amounts (in thousands).</w:t>
      </w:r>
    </w:p>
    <w:p>
      <w:pPr>
        <w:spacing w:after="0" w:line="18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Times New Roman" w:cs="Times New Roman" w:eastAsia="Times New Roman" w:hAnsi="Times New Roman"/>
          <w:sz w:val="18"/>
          <w:szCs w:val="18"/>
          <w:color w:val="auto"/>
        </w:rPr>
        <w:t>Average revenue per top 20 pharmaceutical manufacturer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2,824</w:t>
        <w:tab/>
        <w:t>$</w:t>
      </w:r>
      <w:r>
        <w:rPr>
          <w:sz w:val="20"/>
          <w:szCs w:val="20"/>
          <w:color w:val="auto"/>
        </w:rPr>
        <w:tab/>
      </w:r>
      <w:r>
        <w:rPr>
          <w:rFonts w:ascii="Times New Roman" w:cs="Times New Roman" w:eastAsia="Times New Roman" w:hAnsi="Times New Roman"/>
          <w:sz w:val="18"/>
          <w:szCs w:val="18"/>
          <w:color w:val="auto"/>
        </w:rPr>
        <w:t>1,902</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Percent of top 20 pharmaceutical manufacturers that are customers. </w:t>
      </w:r>
      <w:r>
        <w:rPr>
          <w:rFonts w:ascii="Times New Roman" w:cs="Times New Roman" w:eastAsia="Times New Roman" w:hAnsi="Times New Roman"/>
          <w:sz w:val="18"/>
          <w:szCs w:val="18"/>
          <w:color w:val="auto"/>
        </w:rPr>
        <w:t>Percent of top 20 pharmaceutical manufacturers that are customers is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taking the number of revenue generating customers that are pharmaceutical manufacturers listed in Fierce Pharma’s “The top 20 pharma companies by 2023 revenue” over the last 12 months, which is then divided by 20 - 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September 30, 2023 to the twelve months ended September 30, 2024.</w:t>
      </w:r>
    </w:p>
    <w:p>
      <w:pPr>
        <w:spacing w:after="0" w:line="18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Percent of total revenue attributable to top 20 pharmaceutical manufacturers. </w:t>
      </w:r>
      <w:r>
        <w:rPr>
          <w:rFonts w:ascii="Times New Roman" w:cs="Times New Roman" w:eastAsia="Times New Roman" w:hAnsi="Times New Roman"/>
          <w:sz w:val="18"/>
          <w:szCs w:val="18"/>
          <w:color w:val="auto"/>
        </w:rPr>
        <w:t>Percent of total revenue attributable to top 20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is calculated by taking the total revenue the Company recognized through pharmaceutical manufacturers listed in Fierce Pharma’s “The top 20 pharma companies by 2023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w:t>
      </w:r>
    </w:p>
    <w:p>
      <w:pPr>
        <w:spacing w:after="0" w:line="17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Net revenue retention is a comparison of revenue generated from all customers in the previous twelve-month period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September 30, 2024 was higher due to increased adoption of DAAP year over year as well as the acquisition of Medicx Health in the fourth quarter of 2023.</w:t>
      </w:r>
    </w:p>
    <w:p>
      <w:pPr>
        <w:spacing w:after="0" w:line="18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twelve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 (in thousands).</w:t>
      </w:r>
    </w:p>
    <w:p>
      <w:pPr>
        <w:spacing w:after="0" w:line="17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520" w:val="left"/>
          <w:tab w:leader="none" w:pos="10000" w:val="left"/>
          <w:tab w:leader="none" w:pos="10840" w:val="left"/>
        </w:tabs>
        <w:rPr>
          <w:sz w:val="20"/>
          <w:szCs w:val="20"/>
          <w:color w:val="auto"/>
        </w:rPr>
      </w:pPr>
      <w:r>
        <w:rPr>
          <w:rFonts w:ascii="Times New Roman" w:cs="Times New Roman" w:eastAsia="Times New Roman" w:hAnsi="Times New Roman"/>
          <w:sz w:val="18"/>
          <w:szCs w:val="18"/>
          <w:color w:val="auto"/>
        </w:rPr>
        <w:t>Revenue per average full-time employee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630</w:t>
        <w:tab/>
        <w:t>$</w:t>
      </w:r>
      <w:r>
        <w:rPr>
          <w:sz w:val="20"/>
          <w:szCs w:val="20"/>
          <w:color w:val="auto"/>
        </w:rPr>
        <w:tab/>
      </w:r>
      <w:r>
        <w:rPr>
          <w:rFonts w:ascii="Times New Roman" w:cs="Times New Roman" w:eastAsia="Times New Roman" w:hAnsi="Times New Roman"/>
          <w:sz w:val="18"/>
          <w:szCs w:val="18"/>
          <w:color w:val="auto"/>
        </w:rPr>
        <w:t>568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sets forth, for the periods indicated, the dollar value and percentage of net revenue represented by certain items in our consolidated statements of operations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8"/>
                <w:szCs w:val="18"/>
                <w:b w:val="1"/>
                <w:bCs w:val="1"/>
                <w:color w:val="242424"/>
              </w:rPr>
              <w:t>2024</w:t>
            </w:r>
          </w:p>
        </w:tc>
        <w:tc>
          <w:tcPr>
            <w:tcW w:w="7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242424"/>
              </w:rPr>
              <w:t>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21,309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16,331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Pr>
          <w:p>
            <w:pPr>
              <w:spacing w:after="0"/>
              <w:rPr>
                <w:sz w:val="20"/>
                <w:szCs w:val="20"/>
                <w:color w:val="auto"/>
              </w:rPr>
            </w:pPr>
          </w:p>
        </w:tc>
        <w:tc>
          <w:tcPr>
            <w:tcW w:w="13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7,862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20"/>
                <w:szCs w:val="20"/>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6,531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r>
      <w:tr>
        <w:trPr>
          <w:trHeight w:val="237"/>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3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22,009</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20"/>
                <w:szCs w:val="20"/>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13,353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(1,524)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8"/>
                <w:szCs w:val="18"/>
                <w:color w:val="auto"/>
              </w:rPr>
            </w:pPr>
          </w:p>
        </w:tc>
        <w:tc>
          <w:tcPr>
            <w:tcW w:w="13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Pr>
          <w:p>
            <w:pPr>
              <w:spacing w:after="0"/>
              <w:rPr>
                <w:sz w:val="18"/>
                <w:szCs w:val="18"/>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688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58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w:t>
            </w:r>
          </w:p>
        </w:tc>
        <w:tc>
          <w:tcPr>
            <w:tcW w:w="580" w:type="dxa"/>
            <w:vAlign w:val="bottom"/>
            <w:tcBorders>
              <w:top w:val="single" w:sz="8" w:color="CCEEFF"/>
              <w:bottom w:val="single" w:sz="8" w:color="CCEEFF"/>
            </w:tcBorders>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688</w:t>
            </w:r>
          </w:p>
        </w:tc>
        <w:tc>
          <w:tcPr>
            <w:tcW w:w="6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20"/>
                <w:szCs w:val="20"/>
                <w:color w:val="auto"/>
              </w:rPr>
            </w:pPr>
          </w:p>
        </w:tc>
        <w:tc>
          <w:tcPr>
            <w:tcW w:w="132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color w:val="auto"/>
              </w:rPr>
              <w:t>817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3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580" w:type="dxa"/>
            <w:vAlign w:val="bottom"/>
            <w:tcBorders>
              <w:top w:val="single" w:sz="8" w:color="CCEEFF"/>
              <w:bottom w:val="single" w:sz="8" w:color="CCEEFF"/>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(42.78)%</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5040" w:hanging="5532"/>
        <w:spacing w:after="0" w:line="541" w:lineRule="auto"/>
        <w:tabs>
          <w:tab w:leader="none" w:pos="33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Balances and percentage of net revenue information may not add due to rounding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59,811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43,153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20"/>
                <w:szCs w:val="20"/>
                <w:color w:val="auto"/>
              </w:rPr>
            </w:pPr>
          </w:p>
        </w:tc>
        <w:tc>
          <w:tcPr>
            <w:tcW w:w="14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22,456</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18,094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w:t>
            </w:r>
          </w:p>
        </w:tc>
      </w:tr>
      <w:tr>
        <w:trPr>
          <w:trHeight w:val="23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4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54,695</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40,557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(4,597)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4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113</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8"/>
                <w:szCs w:val="18"/>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231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2,074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8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(4,253</w:t>
            </w:r>
          </w:p>
        </w:tc>
        <w:tc>
          <w:tcPr>
            <w:tcW w:w="620" w:type="dxa"/>
            <w:vAlign w:val="bottom"/>
            <w:tcBorders>
              <w:top w:val="single" w:sz="8" w:color="CCEEFF"/>
              <w:bottom w:val="single" w:sz="8" w:color="CCEEFF"/>
            </w:tcBorders>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2,074</w:t>
            </w:r>
          </w:p>
        </w:tc>
        <w:tc>
          <w:tcPr>
            <w:tcW w:w="600" w:type="dxa"/>
            <w:vAlign w:val="bottom"/>
            <w:tcBorders>
              <w:top w:val="single" w:sz="8" w:color="CCEEFF"/>
              <w:bottom w:val="single" w:sz="8" w:color="CCEEFF"/>
            </w:tcBorders>
          </w:tcPr>
          <w:p>
            <w:pPr>
              <w:spacing w:after="0"/>
              <w:rPr>
                <w:sz w:val="18"/>
                <w:szCs w:val="18"/>
                <w:color w:val="auto"/>
              </w:rPr>
            </w:pPr>
          </w:p>
        </w:tc>
        <w:tc>
          <w:tcPr>
            <w:tcW w:w="94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20"/>
                <w:szCs w:val="20"/>
                <w:color w:val="auto"/>
              </w:rPr>
            </w:pPr>
          </w:p>
        </w:tc>
        <w:tc>
          <w:tcPr>
            <w:tcW w:w="1400" w:type="dxa"/>
            <w:vAlign w:val="bottom"/>
            <w:gridSpan w:val="2"/>
          </w:tcPr>
          <w:p>
            <w:pPr>
              <w:jc w:val="right"/>
              <w:ind w:right="538"/>
              <w:spacing w:after="0"/>
              <w:rPr>
                <w:sz w:val="20"/>
                <w:szCs w:val="20"/>
                <w:color w:val="auto"/>
              </w:rPr>
            </w:pPr>
            <w:r>
              <w:rPr>
                <w:rFonts w:ascii="Times New Roman" w:cs="Times New Roman" w:eastAsia="Times New Roman" w:hAnsi="Times New Roman"/>
                <w:sz w:val="18"/>
                <w:szCs w:val="18"/>
                <w:color w:val="auto"/>
              </w:rPr>
              <w:t>1,561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0"/>
                <w:szCs w:val="20"/>
                <w:color w:val="auto"/>
              </w:rPr>
            </w:pPr>
          </w:p>
        </w:tc>
        <w:tc>
          <w:tcPr>
            <w:tcW w:w="13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620" w:type="dxa"/>
            <w:vAlign w:val="bottom"/>
            <w:tcBorders>
              <w:top w:val="single" w:sz="8" w:color="CCEEFF"/>
              <w:bottom w:val="single" w:sz="8" w:color="CCEEFF"/>
            </w:tcBorders>
            <w:shd w:val="clear" w:color="auto" w:fill="CCEEFF"/>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600" w:type="dxa"/>
            <w:vAlign w:val="bottom"/>
            <w:tcBorders>
              <w:top w:val="single" w:sz="8" w:color="CCEEFF"/>
              <w:bottom w:val="single" w:sz="8" w:color="CCEEFF"/>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net revenue information may not add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revenue reported for the three months ended September 30, 2024 was approximately $21,309, an increase of approximately 30% over the approximately $16,331 from the same period in 2023. Our net revenue reported for the nine months ended September 30, 2024 was approximately $59,811, an increase of approximately 39% over the approximately $43,153 from the same period in 2023. The increase in net revenue was as a result of the impact of the fourth quarter 2023 acquisition of Medicx Health, which was not included in the prior year numbers, plus growth of DAAP related sales. The increases in the three and nine months ended September 30, 2024 were partially offset by a reduction of approximately $1,088 and $4,169, respectively, as a result of the disposal of our non-core Access solutions and the sale of certain non-core solutions-related contracts in the fourth quarter of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of $23,852 and $68,603, as shown in the pro forma financial consolidated statement of operations data table in Note 1 above, includes $1,088 and $4,169 related to the Access and other non-core solutions revenues for the three and nine months ended September 30, 2023, compared to $21,309 and $59,811 for the three and nine months ended September 30, 2024, for which no Access or other non-core solutions revenue was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revenues, comprised primarily of revenue share expense paid to our network partners as well as costs associated with licensing data from third parties, was approximately $7,862 or 36.9% of net revenues for the three months ended September 30, 2024 compared to $6,531 or 40.0% of net revenues for the three months ended September 30, 2023 and was approximately $22,456 or 38% of net revenues for the nine months ended September 30, 2024, compared to $18,094 or 42% of net revenues for the nine months ended September 30,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cost of revenues as a percentage of revenues was a result of solution and channel mix. Additional discussion is included in the Gross Margin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 which is the difference between our revenues and our cost of revenues, was approximately $13,447 or 63.1% of net revenues for the three months ended September 30, 2024 compared to $9,800 or 60.0% of net revenues for the three months ended September 30, 2023 and was approximately $37,355 or 62.5% of net revenues for the nine months ended September 30, 2024 compared to $25,059 or 58.1% of net revenues for the nine months ended September 30,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had higher third quarter revenues compared to the same year ago period due to the fourth quarter 2023 acquisition of Medicx Health and growth in our DAAP related sales, leading to increased gross margin. Our overall margin percentage improved, compared with a year ago, as a result of an increased delivery of higher margin revenue solutions, such as DAAP and Medicx Audience Activation (“MAA”), and using more cost-effective channel partnerships.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increased to approximately $22,009 for the three months ended September 30, 2024 from approximately $13,353 for the same period in 2023, an increase of approximately 65%. For the nine months ended September 30, 2024 operating expenses were approximately $54,695 compared to approximately $40,557 for the nine months ended September 30, 2023, an increase of 35%. The detail by major category is reflected in the table below (in thousands).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expense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40" w:type="dxa"/>
            <w:vAlign w:val="bottom"/>
          </w:tcPr>
          <w:p>
            <w:pPr>
              <w:spacing w:after="0"/>
              <w:rPr>
                <w:sz w:val="21"/>
                <w:szCs w:val="21"/>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8"/>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w w:val="93"/>
              </w:rPr>
              <w:t>2,604</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3,206</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8,530</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11,090</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w:t>
            </w:r>
          </w:p>
        </w:tc>
      </w:tr>
      <w:tr>
        <w:trPr>
          <w:trHeight w:val="229"/>
        </w:trPr>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35,441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28,072</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r>
      <w:tr>
        <w:trPr>
          <w:trHeight w:val="250"/>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22,009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40,557</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-779780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decreased from approximately $3,206 for the three months ended September 30, 2023, to approximately $2,604 for the three months ended September 30, 2024, and decreased from approximately $11,090 for the nine months ended September 30, 2023, to approximately $8,530 for the nine months ended September 30, 2024. The decrease in both periods was a result of the lower grant date fair value of awards due to declines in the Company’s stock price as well as fewer equity awards made in such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from approximately $467 for the three months ended September 30, 2023, to approximately $1,095 for the three months ended September 30, 2024, and increased from approximately $1,395 for the nine months ended September 30, 2023, to approximately $3,235 for the nine months ended September 30, 2024. The increase in both periods was a result of the additional amortization associated with the identifiable intangibles arising from the Medicx Health acquisition.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goodwill impairment in the amount of $7.5 million in the three months ended September 30, 2024. This amount represents the excess of the book value of the Company’s equity over the estimated fair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general and administrative expenses increased from approximately $9,680 for the three months ended September 30, 2023 to approximately $10,821 for the three months ended September 30, 2024, and increased from approximately $28,072 for the nine months ended September 30, 2023, to approximately $35,441 for the nine months ended September 30, 2024. This increase in both periods is primarily a result of increases in compensation expense, due to additional headcount as a result of the Medicx Health acquisition, increasing salary, bonus, and commission expense. There was also an increase in contractors and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$1,524 and $4,597 for the three and nine months ended September 30, 2024 and represents interest charges on our Term Loan, which was raised to partially fund the acquisition of Medicx Health in the fourth quarter of 2023, together with the amortization of the related issuance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was $38 and $113 for the three and nine months ended September 30, 2024 and represents a reduction in the estimated amount due as a result of a supplier related payment contingency.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decreased from approximately $688 for the three months ended September 30, 2023, to approximately $107 for the three months ended September 30, 2024, and from approximately $2,074 for the nine months ended September 30, 2023, to approximately $231 for the nine months ended September 30, 2024. The decrease was a result of lower invested balances as we realized short-term investments during 2023 in order to partially fund the acquisition of Medicx Health.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was approximately $817, or an effective rate of 8.2%, and $1,561, or an effective rate of 7.2% for the three and nine months ended September 30, 2024, respectively. For further information, see Part I, Item I. Financial Statements; Note 13 — Income Taxes in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 net loss of approximately $9,124 for the three months ended September 30, 2024, as compared to a net loss of approximately $2,865 during the three months ended September 30, 2023 and approximately $20,032 for the nine months ended September 30, 2024 as compared to $13,424 for the nine months ended September 30, 2023. The reasons and specific components associated with the change are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primary sources of liquidity have been cash receipts from customers and proceeds from equity offerings, in addition, during the year ended December 31, 2023, the Company entered into a Term loan of $40.0 million in order to partially fund the acquisition of Medicx Health. As of September 30, 2024, the total principal balance outstanding on the Term loan was approximately $36.8 million and we were in compliance with all of the financial covenants of the Term loan.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we had total current assets of approximately $46.9 million, compared with current liabilities of approximately $14.5 million, resulting in working capital of approximately $32.4 million and a current ratio of approximately 3.2 to 1. This represents a decrease from our working capital of approximately $36.4 million, whilst maintaining the same current ratio at 3.0 to 1 when compared to December 31, 2023. This decrease in our working capital is discussed in more detail below.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table with summary data from the consolidated statements of cash flows for the nine months ended September 30, 2024 and 2023, as presented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approximately $4,691 from operating activities during the nine months ended September 30, 2024, compared with $982 used in operating activities in the same period in 2023. We had a net loss of $20,032 for the first nine months of 2024, which included non-cash expenses of $18,176. This was offset by cash generated through improved working capital management.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Cash used by investing activities was approximately $330 for the nine months ended September 30, 2024. We invested in internally developed software in the amount of $235 and spent $95 on property and equipment. Cash provided by investing activities for the same period in the prior year was $664 as we made a net investment of $2,311 in treasury bills and invested $1,561 in internally developed software.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used for financing activities was approximately $2,087, during the nine months ended September 30, 2024. We used $587 to pay withholding taxes on behalf of employees vesting in restricted stock units and made repayments totaling $1,500 on our Term loan. Cash used for financing activities for the same period in prior year was $7,969, primarily related to the repurchase of 526,999 shares of our common stock for approximately $7,522. The remaining amount arose from paying withholding taxes on behalf of employees vesting in restricted stock units, partially offset by the receipt of funds from the exercise of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stock-based compensation. Actual results could differ from those estimates and assumptions.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the Consolidated Financial Statements in the Annual Report on Form 10-K for the year ended December 31, 2023 (2023 Annual Report on Form 10-K). The accounting policies we used in preparing these financial statements are substantially consistent with those we applied in our 2023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 goodwill for impairment during our fiscal fourth quarter, or more frequently if an event occurs or circumstances change.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use of different assumptions, estimates, or judgments in the goodwill impairment testing process may significantly increase or decrease the estimated fair value of a reporting unit. Generally, changes in DCF estimates would have a similar effect on the estimated fair value of the reporting unit.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the Company experienced sustained decreases in its stock price and market capitalization. Accordingly, the Company conducted a quantitative impairment test of its goodwill as of September 30, 2024. The Company estimated fair value by weighting the results from a market approach and an income approach. Significant assumptions inherent in the valuation methodologies included, but are not limited to, prospective financial information, discount rate, and comparable multiples from publicly traded companies in the same industry. The assessment resulted in a non-cash impairment charge of $7.5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included in the 2023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ASU 2023-07 requires annual and interim disclosures that are expected 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impact of adopting ASU 2023-07.</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media, data or messaging capabilities. As of September 30, 2024, the Company had commitments for future minimum payments of approximately $16.7 million that will be reflected in cost of revenues during the remainder of 2024 and years 2025 through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 over financial reporting which was disclosed in our Annual Report on Form 10-K for the year ended December 31,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address the material weakness referenced above, the Company performed additional analysis and performed other procedures in order to prepare the condensed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 material weakness identified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intends to implement the following remediation steps:</w:t>
      </w:r>
    </w:p>
    <w:p>
      <w:pPr>
        <w:spacing w:after="0" w:line="207" w:lineRule="exact"/>
        <w:rPr>
          <w:sz w:val="20"/>
          <w:szCs w:val="20"/>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require each third-party service organization to provide a SOC-1, Type 2 report to the Company for management to review and make adjustments to the remediation plans,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 valid SOC-1 Type 2 report or perform substantive testing of such third-party service organization’s control environment, the Company will implement a qualification and program triaging process, which would include modifying customer contracts, limiting the volume of activity with those third-parties and establishing other controls to ensure the completeness and accuracy of information received from those third-parties, such as performing tagging procedures where possible.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measures described above will remediate the material weakness that we have identified. During the quarter ended September 30, 2024, the Company continued to engage with the third-party service organizations to discuss the reporting requirements. As management continues to evaluate and improve our disclosure controls and procedures and internal controls over financial reporting, the Company may decide to take additional measures to address control deficiencies or determine to modify certain of the remediation measures identified.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above, there was no change in our internal control over financial reporting (as defined in Rule 13a-15(f) under the Exchange Act), that occurred during the quarter ended September 30,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the risks previously reported in PART 1, ITEM 1A, “Risk Factors” of our Annual Report on Form 10-K for the year ended December 31, 2023.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spouse of Lynn O’Connor Vos, the Chairperson of our Board of Directors, adopted a Rule 10b5-1 plan (“Rule 10b5-1 Plan”) intended to satisfy the affirmative defense conditions of Rule 10b5-1(c) under the Exchange Act with a start date of September 13, 2024. The Rule 10b5-1 Plan provides for the sale of up to 9334 shares of the Company’s common stock held directly by Mr. Vos. The Rule 10b5-1 Plan expires on September 12, 2025, or upon the earlier completion of all authorized transactions under such Rule 10b5-1 Plan.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none of our other directors or executive officers adopted or terminated any “Rule 10b5-1 trading arrangement” or “non-Rule 10b5-1 trading arrangement” (as each term is defined in Item 408(a) of Registration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Articles of Incorporation of OptimizeRx Corporation (the “Company”) Incorporated by reference to Exhibit 3.1 to the Company’s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Registration Statement on Form S-1 (Registration No. 333-155280) filed on November 12, 2008.</w:t>
              </w:r>
            </w:hyperlink>
          </w:p>
        </w:tc>
        <w:tc>
          <w:tcPr>
            <w:tcW w:w="310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Certificate of Correction, dated April 30, 2018. Incorporated by reference to Exhibit 3.5 to the Company’s Annual Report on Form 10-K for</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the year ended December 31, 2018.</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Third Amended and Restated Bylaws of the Company. Incorporated by reference to Exhibit 3.3 to the Company’s Annual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10-K for the year ended December 31,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302 of the Sarbanes-Oxley Act</w:t>
            </w:r>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of 2002</w:t>
            </w:r>
          </w:p>
        </w:tc>
        <w:tc>
          <w:tcPr>
            <w:tcW w:w="954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 906</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540" w:right="3560" w:hanging="5532"/>
        <w:spacing w:after="0" w:line="761" w:lineRule="auto"/>
        <w:tabs>
          <w:tab w:leader="none" w:pos="11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tc>
      </w:tr>
      <w:tr>
        <w:trPr>
          <w:trHeight w:val="414"/>
        </w:trPr>
        <w:tc>
          <w:tcPr>
            <w:tcW w:w="11240" w:type="dxa"/>
            <w:vAlign w:val="bottom"/>
            <w:gridSpan w:val="2"/>
          </w:tcPr>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3920" w:type="dxa"/>
            <w:vAlign w:val="bottom"/>
          </w:tcPr>
          <w:p>
            <w:pPr>
              <w:spacing w:after="0"/>
              <w:rPr>
                <w:sz w:val="18"/>
                <w:szCs w:val="18"/>
                <w:color w:val="auto"/>
              </w:rPr>
            </w:pPr>
          </w:p>
        </w:tc>
      </w:t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4"/>
        </w:trPr>
        <w:tc>
          <w:tcPr>
            <w:tcW w:w="7320" w:type="dxa"/>
            <w:vAlign w:val="bottom"/>
          </w:tcPr>
          <w:p>
            <w:pPr>
              <w:spacing w:after="0"/>
              <w:rPr>
                <w:sz w:val="16"/>
                <w:szCs w:val="16"/>
                <w:color w:val="auto"/>
              </w:rPr>
            </w:pPr>
          </w:p>
        </w:tc>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Operations Officer</w:t>
            </w:r>
          </w:p>
        </w:tc>
      </w:tr>
      <w:tr>
        <w:trPr>
          <w:trHeight w:val="238"/>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Febbo,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OptimizeRx Corp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J. Febbo</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Stelmakh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OptimizeRx Corp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Stelmakh</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OptimizeRx Corp (the “Company”) on Form 10-Q for the quarter ended September 30, 2024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Willian J Febbo</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been furnished solely pursuant to Section 906 of the Sarbanes-Oxley Act of 2002.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6"/>
      <w:numFmt w:val="bullet"/>
      <w:start w:val="1"/>
    </w:lvl>
  </w:abstractNum>
  <w:abstractNum w:abstractNumId="5">
    <w:nsid w:val="1190CDE7"/>
    <w:multiLevelType w:val="hybridMultilevel"/>
    <w:lvl w:ilvl="0">
      <w:lvlJc w:val="left"/>
      <w:lvlText w:val="7"/>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2" Type="http://schemas.openxmlformats.org/officeDocument/2006/relationships/hyperlink" Target="http://www.sec.gov/Archives/edgar/data/1448431/000136110608000414/optimizerx_s1-ex0301.htm" TargetMode="External"/><Relationship Id="rId53" Type="http://schemas.openxmlformats.org/officeDocument/2006/relationships/hyperlink" Target="http://www.sec.gov/Archives/edgar/data/1448431/000121390019003962/f10k2018ex3-5_optimizerx.htm" TargetMode="External"/><Relationship Id="rId54" Type="http://schemas.openxmlformats.org/officeDocument/2006/relationships/hyperlink" Target="http://www.sec.gov/Archives/edgar/data/1448431/000121390023019233/f10k2022ex3-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2024-11-14T14:42:42Z</dcterms:created>
  <dcterms:modified xsi:type="dcterms:W3CDTF">2024-11-14T14:42:42Z</dcterms:modified>
</cp:coreProperties>
</file>