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68401U1051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68401U1051</w:t>
      </w:r>
    </w:p>
    <w:p>
      <w:pPr>
        <w:spacing w:after="0" w:line="4" w:lineRule="exact"/>
        <w:rPr>
          <w:sz w:val="24"/>
          <w:szCs w:val="24"/>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4,103,774**</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4,103,774**</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6" w:lineRule="exact"/>
        <w:rPr>
          <w:sz w:val="24"/>
          <w:szCs w:val="24"/>
          <w:color w:val="auto"/>
        </w:rPr>
      </w:pPr>
    </w:p>
    <w:p>
      <w:pPr>
        <w:ind w:right="2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38" w:orient="portrait"/>
          <w:cols w:equalWidth="0" w:num="1">
            <w:col w:w="10219"/>
          </w:cols>
          <w:pgMar w:left="240" w:top="244" w:right="1440" w:bottom="0" w:gutter="0" w:footer="0" w:header="0"/>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911,189 Shares of Common Stock of the Issuer (the Shares) held by CAYMAN, 2,436,390 Shares of Common Stock held by SSFQP and 756,195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400 Water Street-Suite 200, Rochester, MI 48307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68401U1051</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4,103,774**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11.8%**</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4,103,774**</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4,103,774**</w:t>
      </w:r>
    </w:p>
    <w:p>
      <w:pPr>
        <w:spacing w:after="0" w:line="207"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099" w:firstLine="8"/>
        <w:spacing w:after="0" w:line="279"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911,189 Shares of Common Stock of the Issuer (the Shares) held by CAYMAN, 2,436,390</w:t>
      </w:r>
    </w:p>
    <w:p>
      <w:pPr>
        <w:sectPr>
          <w:pgSz w:w="11900" w:h="16838" w:orient="portrait"/>
          <w:cols w:equalWidth="0" w:num="1">
            <w:col w:w="10219"/>
          </w:cols>
          <w:pgMar w:left="240" w:top="142" w:right="1440" w:bottom="0" w:gutter="0" w:footer="0" w:header="0"/>
        </w:sectPr>
      </w:pPr>
    </w:p>
    <w:bookmarkStart w:id="2" w:name="page3"/>
    <w:bookmarkEnd w:id="2"/>
    <w:p>
      <w:pPr>
        <w:ind w:right="2199"/>
        <w:spacing w:after="0" w:line="237" w:lineRule="auto"/>
        <w:rPr>
          <w:sz w:val="20"/>
          <w:szCs w:val="20"/>
          <w:color w:val="auto"/>
        </w:rPr>
      </w:pPr>
      <w:r>
        <w:rPr>
          <w:rFonts w:ascii="Courier New" w:cs="Courier New" w:eastAsia="Courier New" w:hAnsi="Courier New"/>
          <w:sz w:val="18"/>
          <w:szCs w:val="18"/>
          <w:color w:val="auto"/>
        </w:rPr>
        <w:t>Shares of Common Stock held by SSFQP and 756,195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7,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860"/>
        <w:spacing w:after="0" w:line="238" w:lineRule="auto"/>
        <w:rPr>
          <w:sz w:val="20"/>
          <w:szCs w:val="20"/>
          <w:color w:val="auto"/>
        </w:rPr>
      </w:pPr>
      <w:r>
        <w:rPr>
          <w:rFonts w:ascii="Courier New" w:cs="Courier New" w:eastAsia="Courier New" w:hAnsi="Courier New"/>
          <w:sz w:val="18"/>
          <w:szCs w:val="18"/>
          <w:color w:val="auto"/>
        </w:rPr>
        <w:t>Name: David M. Greenhouse</w:t>
      </w:r>
    </w:p>
    <w:p>
      <w:pPr>
        <w:ind w:left="860"/>
        <w:spacing w:after="0"/>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2019-12-07T14:16:07Z</dcterms:created>
  <dcterms:modified xsi:type="dcterms:W3CDTF">2019-12-07T14:16:07Z</dcterms:modified>
</cp:coreProperties>
</file>