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auto"/>
        </w:rPr>
        <w:t>____________________</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33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February 5, 2015</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OptimizeRx Corporation</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37"/>
        </w:trPr>
        <w:tc>
          <w:tcPr>
            <w:tcW w:w="4540" w:type="dxa"/>
            <w:vAlign w:val="bottom"/>
            <w:gridSpan w:val="3"/>
          </w:tcPr>
          <w:p>
            <w:pPr>
              <w:jc w:val="center"/>
              <w:ind w:right="820"/>
              <w:spacing w:after="0"/>
              <w:rPr>
                <w:sz w:val="20"/>
                <w:szCs w:val="20"/>
                <w:color w:val="auto"/>
              </w:rPr>
            </w:pPr>
            <w:r>
              <w:rPr>
                <w:rFonts w:ascii="Arial" w:cs="Arial" w:eastAsia="Arial" w:hAnsi="Arial"/>
                <w:sz w:val="18"/>
                <w:szCs w:val="18"/>
                <w:color w:val="auto"/>
                <w:w w:val="90"/>
              </w:rPr>
              <w:t>Nevada</w:t>
            </w:r>
          </w:p>
        </w:tc>
        <w:tc>
          <w:tcPr>
            <w:tcW w:w="3020" w:type="dxa"/>
            <w:vAlign w:val="bottom"/>
            <w:gridSpan w:val="3"/>
          </w:tcPr>
          <w:p>
            <w:pPr>
              <w:jc w:val="right"/>
              <w:ind w:right="1460"/>
              <w:spacing w:after="0"/>
              <w:rPr>
                <w:sz w:val="20"/>
                <w:szCs w:val="20"/>
                <w:color w:val="auto"/>
              </w:rPr>
            </w:pPr>
            <w:r>
              <w:rPr>
                <w:rFonts w:ascii="Arial" w:cs="Arial" w:eastAsia="Arial" w:hAnsi="Arial"/>
                <w:sz w:val="18"/>
                <w:szCs w:val="18"/>
                <w:color w:val="auto"/>
              </w:rPr>
              <w:t>000-53605</w:t>
            </w:r>
          </w:p>
        </w:tc>
        <w:tc>
          <w:tcPr>
            <w:tcW w:w="140" w:type="dxa"/>
            <w:vAlign w:val="bottom"/>
          </w:tcPr>
          <w:p>
            <w:pPr>
              <w:spacing w:after="0"/>
              <w:rPr>
                <w:sz w:val="20"/>
                <w:szCs w:val="20"/>
                <w:color w:val="auto"/>
              </w:rPr>
            </w:pPr>
          </w:p>
        </w:tc>
        <w:tc>
          <w:tcPr>
            <w:tcW w:w="3720" w:type="dxa"/>
            <w:vAlign w:val="bottom"/>
          </w:tcPr>
          <w:p>
            <w:pPr>
              <w:jc w:val="right"/>
              <w:ind w:right="1330"/>
              <w:spacing w:after="0"/>
              <w:rPr>
                <w:sz w:val="20"/>
                <w:szCs w:val="20"/>
                <w:color w:val="auto"/>
              </w:rPr>
            </w:pPr>
            <w:r>
              <w:rPr>
                <w:rFonts w:ascii="Arial" w:cs="Arial" w:eastAsia="Arial" w:hAnsi="Arial"/>
                <w:sz w:val="18"/>
                <w:szCs w:val="18"/>
                <w:color w:val="auto"/>
              </w:rPr>
              <w:t>26-1265381</w:t>
            </w:r>
          </w:p>
        </w:tc>
      </w:tr>
      <w:tr>
        <w:trPr>
          <w:trHeight w:val="230"/>
        </w:trPr>
        <w:tc>
          <w:tcPr>
            <w:tcW w:w="37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 of incorporation)</w:t>
            </w:r>
          </w:p>
        </w:tc>
        <w:tc>
          <w:tcPr>
            <w:tcW w:w="140" w:type="dxa"/>
            <w:vAlign w:val="bottom"/>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3020" w:type="dxa"/>
            <w:vAlign w:val="bottom"/>
            <w:tcBorders>
              <w:top w:val="single" w:sz="8" w:color="auto"/>
            </w:tcBorders>
            <w:gridSpan w:val="3"/>
          </w:tcPr>
          <w:p>
            <w:pPr>
              <w:jc w:val="center"/>
              <w:ind w:right="700"/>
              <w:spacing w:after="0"/>
              <w:rPr>
                <w:sz w:val="20"/>
                <w:szCs w:val="20"/>
                <w:color w:val="auto"/>
              </w:rPr>
            </w:pPr>
            <w:r>
              <w:rPr>
                <w:rFonts w:ascii="Arial" w:cs="Arial" w:eastAsia="Arial" w:hAnsi="Arial"/>
                <w:sz w:val="18"/>
                <w:szCs w:val="18"/>
                <w:color w:val="auto"/>
                <w:w w:val="93"/>
              </w:rPr>
              <w:t>(Commission File Number)</w:t>
            </w:r>
          </w:p>
        </w:tc>
        <w:tc>
          <w:tcPr>
            <w:tcW w:w="140" w:type="dxa"/>
            <w:vAlign w:val="bottom"/>
          </w:tcPr>
          <w:p>
            <w:pPr>
              <w:spacing w:after="0"/>
              <w:rPr>
                <w:sz w:val="20"/>
                <w:szCs w:val="20"/>
                <w:color w:val="auto"/>
              </w:rPr>
            </w:pPr>
          </w:p>
        </w:tc>
        <w:tc>
          <w:tcPr>
            <w:tcW w:w="3720" w:type="dxa"/>
            <w:vAlign w:val="bottom"/>
            <w:tcBorders>
              <w:top w:val="single" w:sz="8" w:color="auto"/>
            </w:tcBorders>
          </w:tcPr>
          <w:p>
            <w:pPr>
              <w:ind w:left="540"/>
              <w:spacing w:after="0"/>
              <w:rPr>
                <w:sz w:val="20"/>
                <w:szCs w:val="20"/>
                <w:color w:val="auto"/>
              </w:rPr>
            </w:pPr>
            <w:r>
              <w:rPr>
                <w:rFonts w:ascii="Arial" w:cs="Arial" w:eastAsia="Arial" w:hAnsi="Arial"/>
                <w:sz w:val="18"/>
                <w:szCs w:val="18"/>
                <w:color w:val="auto"/>
              </w:rPr>
              <w:t>(I.R.S. Employer Identification No.)</w:t>
            </w:r>
          </w:p>
        </w:tc>
      </w:tr>
      <w:tr>
        <w:trPr>
          <w:trHeight w:val="418"/>
        </w:trPr>
        <w:tc>
          <w:tcPr>
            <w:tcW w:w="4540" w:type="dxa"/>
            <w:vAlign w:val="bottom"/>
            <w:tcBorders>
              <w:bottom w:val="single" w:sz="8" w:color="auto"/>
            </w:tcBorders>
            <w:gridSpan w:val="3"/>
          </w:tcPr>
          <w:p>
            <w:pPr>
              <w:jc w:val="center"/>
              <w:ind w:left="990"/>
              <w:spacing w:after="0"/>
              <w:rPr>
                <w:sz w:val="20"/>
                <w:szCs w:val="20"/>
                <w:color w:val="auto"/>
              </w:rPr>
            </w:pPr>
            <w:r>
              <w:rPr>
                <w:rFonts w:ascii="Arial" w:cs="Arial" w:eastAsia="Arial" w:hAnsi="Arial"/>
                <w:sz w:val="18"/>
                <w:szCs w:val="18"/>
                <w:color w:val="auto"/>
                <w:w w:val="90"/>
              </w:rPr>
              <w:t>400 Water Street, Suite 200, Rochester, MI</w:t>
            </w:r>
          </w:p>
        </w:tc>
        <w:tc>
          <w:tcPr>
            <w:tcW w:w="108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tcPr>
          <w:p>
            <w:pPr>
              <w:jc w:val="right"/>
              <w:ind w:right="2490"/>
              <w:spacing w:after="0"/>
              <w:rPr>
                <w:sz w:val="20"/>
                <w:szCs w:val="20"/>
                <w:color w:val="auto"/>
              </w:rPr>
            </w:pPr>
            <w:r>
              <w:rPr>
                <w:rFonts w:ascii="Arial" w:cs="Arial" w:eastAsia="Arial" w:hAnsi="Arial"/>
                <w:sz w:val="18"/>
                <w:szCs w:val="18"/>
                <w:color w:val="auto"/>
              </w:rPr>
              <w:t>48307</w:t>
            </w:r>
          </w:p>
        </w:tc>
      </w:tr>
      <w:tr>
        <w:trPr>
          <w:trHeight w:val="224"/>
        </w:trPr>
        <w:tc>
          <w:tcPr>
            <w:tcW w:w="4540" w:type="dxa"/>
            <w:vAlign w:val="bottom"/>
            <w:gridSpan w:val="3"/>
          </w:tcPr>
          <w:p>
            <w:pPr>
              <w:jc w:val="center"/>
              <w:ind w:left="990"/>
              <w:spacing w:after="0"/>
              <w:rPr>
                <w:sz w:val="20"/>
                <w:szCs w:val="20"/>
                <w:color w:val="auto"/>
              </w:rPr>
            </w:pPr>
            <w:r>
              <w:rPr>
                <w:rFonts w:ascii="Arial" w:cs="Arial" w:eastAsia="Arial" w:hAnsi="Arial"/>
                <w:sz w:val="18"/>
                <w:szCs w:val="18"/>
                <w:color w:val="auto"/>
                <w:w w:val="92"/>
              </w:rPr>
              <w:t>(Address of principal executive offices)</w:t>
            </w: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720" w:type="dxa"/>
            <w:vAlign w:val="bottom"/>
          </w:tcPr>
          <w:p>
            <w:pPr>
              <w:ind w:left="520"/>
              <w:spacing w:after="0"/>
              <w:rPr>
                <w:sz w:val="20"/>
                <w:szCs w:val="20"/>
                <w:color w:val="auto"/>
              </w:rPr>
            </w:pPr>
            <w:r>
              <w:rPr>
                <w:rFonts w:ascii="Arial" w:cs="Arial" w:eastAsia="Arial" w:hAnsi="Arial"/>
                <w:sz w:val="18"/>
                <w:szCs w:val="18"/>
                <w:color w:val="auto"/>
              </w:rPr>
              <w:t>(Zip Code)</w:t>
            </w:r>
          </w:p>
        </w:tc>
      </w:tr>
    </w:tbl>
    <w:p>
      <w:pPr>
        <w:spacing w:after="0" w:line="18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248-651-6568</w:t>
      </w:r>
    </w:p>
    <w:p>
      <w:pPr>
        <w:spacing w:after="0" w:line="200" w:lineRule="exact"/>
        <w:rPr>
          <w:sz w:val="24"/>
          <w:szCs w:val="24"/>
          <w:color w:val="auto"/>
        </w:rPr>
      </w:pPr>
    </w:p>
    <w:p>
      <w:pPr>
        <w:spacing w:after="0" w:line="241" w:lineRule="exact"/>
        <w:rPr>
          <w:sz w:val="24"/>
          <w:szCs w:val="24"/>
          <w:color w:val="auto"/>
        </w:rPr>
      </w:pPr>
    </w:p>
    <w:p>
      <w:pPr>
        <w:ind w:left="3420"/>
        <w:spacing w:after="0"/>
        <w:rPr>
          <w:sz w:val="20"/>
          <w:szCs w:val="20"/>
          <w:color w:val="auto"/>
        </w:rPr>
      </w:pPr>
      <w:r>
        <w:rPr>
          <w:rFonts w:ascii="Arial" w:cs="Arial" w:eastAsia="Arial" w:hAnsi="Arial"/>
          <w:sz w:val="18"/>
          <w:szCs w:val="18"/>
          <w:color w:val="auto"/>
        </w:rPr>
        <w:t>___________________________________________________</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560" w:hanging="455"/>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(17CFR 230.425)</w:t>
      </w:r>
    </w:p>
    <w:p>
      <w:pPr>
        <w:spacing w:after="0" w:line="225" w:lineRule="exact"/>
        <w:rPr>
          <w:rFonts w:ascii="MS PGothic" w:cs="MS PGothic" w:eastAsia="MS PGothic" w:hAnsi="MS PGothic"/>
          <w:sz w:val="18"/>
          <w:szCs w:val="18"/>
          <w:color w:val="auto"/>
        </w:rPr>
      </w:pPr>
    </w:p>
    <w:p>
      <w:pPr>
        <w:ind w:left="560" w:hanging="455"/>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560" w:hanging="455"/>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560" w:hanging="455"/>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358140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4 - MATTERS RELATED TO ACCOUNTANTS AND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4.02 Non-Reliance on Previously Issued Financial Statements or a Related Audit Report or Completed Interim Review.</w:t>
      </w:r>
    </w:p>
    <w:p>
      <w:pPr>
        <w:spacing w:after="0" w:line="22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On February 5, 2015, the Board of Directors of OptimizeRx Corp. (the “Company”) determined, upon the recommendation of the Company’s management, and in consultation with the Company’s independent registered public accounting firm, that the Company should restate its previously issued financial statements for the year ended December 31, 2013, the quarters ended March 31, 2014, June 30, 2014 and September 30, 2013 and 2014 to correct the accounting for certain transactions contained therein, as discussed below.</w:t>
      </w:r>
    </w:p>
    <w:p>
      <w:pPr>
        <w:spacing w:after="0" w:line="18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restatement relates to unrecorded stock compensation related to investor relations and consulting services, unrecorded revenue share payables, and changes in revenue recognition, all occurring during the year ended December 31, 2013. The revenue recognition relates to promotional programs started in 2013 that were expected to be completed in 2013, but actually carried over into the first quarter of 2014.</w:t>
      </w:r>
    </w:p>
    <w:p>
      <w:pPr>
        <w:spacing w:after="0" w:line="181"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The restatements will have no impact on cash flow in either the years ended December 31, 2013 or 2014 or the quarterly periods in 2013 or 2014, and will have the effect of decreasing revenue for the year ended December 31, 2013 and quarterly periods in 2013 and increasing revenue for the year ended December 31, 2014 and quarterly periods in 2014, but have no impact on total revenue for the two years combined.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Revenues for the year ended December 31, 2014 are now expected to be approximately $6.5 million, up approximately 40% over 2013.</w:t>
      </w:r>
    </w:p>
    <w:p>
      <w:pPr>
        <w:spacing w:after="0" w:line="22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In addition, 2013 expenses related to stock compensation and revenue share will be increased by approximately $60,000 and $90,000, respectively. The restatement of the 2014 periods results from the 2013 restatement and its impact on 2014 periods.</w:t>
      </w:r>
    </w:p>
    <w:p>
      <w:pPr>
        <w:spacing w:after="0" w:line="170"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Restated financial statements for the year ended December 31, 2013 will be included in the Company’s annual report on Form 10-K for the year ended December 31, 2014, which the Company expects to file on or before March 31, 2015.</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Accordingly, the financial statements contained in the Company’s Form 10-K for the year ended December 31, 2013, the Form 10-Q reports for the quarters ended March 31, 2014, June 30, 2014, and September 30, 2013 and 2014 filed with the Securities and Exchange Commission should no longer be relied upon in their present format until such time as the restated financial statements are filed.</w:t>
      </w:r>
    </w:p>
    <w:p>
      <w:pPr>
        <w:spacing w:after="0" w:line="18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Company’s Board of Directors discussed the matters disclosed in this Item 4.02 with the Company’s independent registered public accounting firm, KLJ &amp; Associates, LLP.</w:t>
      </w:r>
    </w:p>
    <w:p>
      <w:pPr>
        <w:spacing w:after="0" w:line="200" w:lineRule="exact"/>
        <w:rPr>
          <w:sz w:val="20"/>
          <w:szCs w:val="20"/>
          <w:color w:val="auto"/>
        </w:rPr>
      </w:pPr>
    </w:p>
    <w:p>
      <w:pPr>
        <w:spacing w:after="0" w:line="2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094" w:right="27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Doug Baker</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Doug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6,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637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sectPr>
      <w:pgSz w:w="11900" w:h="16838" w:orient="portrait"/>
      <w:cols w:equalWidth="0" w:num="1">
        <w:col w:w="11420"/>
      </w:cols>
      <w:pgMar w:left="240" w:top="109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2019-12-08T21:51:58Z</dcterms:created>
  <dcterms:modified xsi:type="dcterms:W3CDTF">2019-12-08T21:51:58Z</dcterms:modified>
</cp:coreProperties>
</file>