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f10q0323_optimizerx.htm"/>
      <w:bookmarkStart w:id="1" w:name="ksf10q0323_optimizerx"/>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r>
        <w:rPr>
          <w:rFonts w:ascii="Times New Roman;Times;Serif" w:hAnsi="Times New Roman;Times;Serif"/>
          <w:b/>
          <w:i w:val="false"/>
          <w:caps w:val="false"/>
          <w:smallCaps w:val="false"/>
          <w:sz w:val="20"/>
          <w:u w:val="single"/>
        </w:rPr>
        <w:t>March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001-38543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OptimizeRx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28" w:type="dxa"/>
          <w:right w:w="0" w:type="dxa"/>
        </w:tblCellMar>
      </w:tblPr>
      <w:tblGrid>
        <w:gridCol w:w="2495"/>
        <w:gridCol w:w="60"/>
        <w:gridCol w:w="1535"/>
      </w:tblGrid>
      <w:tr>
        <w:trPr/>
        <w:tc>
          <w:tcPr>
            <w:tcW w:w="249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26-1265381</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400 Water Street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Rochester</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MI, 48307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248-651-6568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under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50" w:type="dxa"/>
            <w:tcBorders/>
            <w:shd w:fill="CCEEFF" w:val="clear"/>
            <w:tcMar>
              <w:bottom w:w="0" w:type="dxa"/>
            </w:tcMar>
            <w:vAlign w:val="center"/>
          </w:tcPr>
          <w:p>
            <w:pPr>
              <w:pStyle w:val="TableContents"/>
              <w:bidi w:val="0"/>
              <w:spacing w:before="0" w:after="283"/>
              <w:jc w:val="center"/>
              <w:rPr>
                <w:sz w:val="20"/>
              </w:rPr>
            </w:pPr>
            <w:r>
              <w:rPr>
                <w:sz w:val="20"/>
              </w:rPr>
              <w:t>Common Stock, par value $0.001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OPRX</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75"/>
        <w:gridCol w:w="230"/>
        <w:gridCol w:w="1820"/>
        <w:gridCol w:w="230"/>
        <w:gridCol w:w="224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sz w:val="20"/>
              </w:rPr>
            </w:pPr>
            <w:r>
              <w:rPr>
                <w:sz w:val="20"/>
              </w:rPr>
              <w:t>Accelerated filer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820"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sz w:val="20"/>
              </w:rPr>
            </w:pPr>
            <w:r>
              <w:rPr>
                <w:sz w:val="20"/>
              </w:rPr>
              <w:t>Smaller reporting company</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sz w:val="20"/>
              </w:rPr>
            </w:pPr>
            <w:r>
              <w:rPr>
                <w:sz w:val="20"/>
              </w:rPr>
              <w:t>Emerging growth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the number of shares outstanding of each of the issuer’s classes of common stock, as of the latest practicable date: 17,127,708 common shares as of May 6,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490" w:type="dxa"/>
        <w:jc w:val="left"/>
        <w:tblInd w:w="0" w:type="dxa"/>
        <w:tblLayout w:type="fixed"/>
        <w:tblCellMar>
          <w:top w:w="0" w:type="dxa"/>
          <w:left w:w="0" w:type="dxa"/>
          <w:bottom w:w="0" w:type="dxa"/>
          <w:right w:w="0" w:type="dxa"/>
        </w:tblCellMar>
      </w:tblPr>
      <w:tblGrid>
        <w:gridCol w:w="740"/>
        <w:gridCol w:w="7280"/>
        <w:gridCol w:w="470"/>
      </w:tblGrid>
      <w:tr>
        <w:trPr/>
        <w:tc>
          <w:tcPr>
            <w:tcW w:w="74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283"/>
              <w:jc w:val="left"/>
              <w:rPr/>
            </w:pPr>
            <w:r>
              <w:rPr/>
              <w:t> </w:t>
            </w:r>
          </w:p>
        </w:tc>
        <w:tc>
          <w:tcPr>
            <w:tcW w:w="470" w:type="dxa"/>
            <w:tcBorders>
              <w:bottom w:val="single" w:sz="12" w:space="0" w:color="000000"/>
            </w:tcBorders>
            <w:tcMar>
              <w:bottom w:w="28" w:type="dxa"/>
            </w:tcMar>
            <w:vAlign w:val="center"/>
          </w:tcPr>
          <w:p>
            <w:pPr>
              <w:pStyle w:val="TableContents"/>
              <w:bidi w:val="0"/>
              <w:spacing w:before="0" w:after="283"/>
              <w:jc w:val="center"/>
              <w:rPr>
                <w:sz w:val="20"/>
              </w:rPr>
            </w:pPr>
            <w:r>
              <w:rPr>
                <w:sz w:val="20"/>
              </w:rPr>
              <w:t xml:space="preserve">Page </w:t>
            </w:r>
          </w:p>
        </w:tc>
      </w:tr>
      <w:tr>
        <w:trPr/>
        <w:tc>
          <w:tcPr>
            <w:tcW w:w="74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center"/>
              <w:rPr/>
            </w:pPr>
            <w:hyperlink w:anchor="a_001">
              <w:r>
                <w:rPr>
                  <w:rStyle w:val="InternetLink"/>
                  <w:b/>
                  <w:sz w:val="20"/>
                </w:rPr>
                <w:t>PART I – FINANCIAL INFORMATION</w:t>
              </w:r>
            </w:hyperlink>
          </w:p>
        </w:tc>
        <w:tc>
          <w:tcPr>
            <w:tcW w:w="470"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740" w:type="dxa"/>
            <w:tcBorders/>
            <w:shd w:fill="CCEEFF" w:val="clear"/>
            <w:vAlign w:val="center"/>
          </w:tcPr>
          <w:p>
            <w:pPr>
              <w:pStyle w:val="TableContents"/>
              <w:bidi w:val="0"/>
              <w:spacing w:before="0" w:after="283"/>
              <w:jc w:val="left"/>
              <w:rPr>
                <w:sz w:val="20"/>
              </w:rPr>
            </w:pPr>
            <w:r>
              <w:rPr>
                <w:sz w:val="20"/>
              </w:rPr>
              <w:t>Item 1:</w:t>
            </w:r>
          </w:p>
        </w:tc>
        <w:tc>
          <w:tcPr>
            <w:tcW w:w="7280" w:type="dxa"/>
            <w:tcBorders/>
            <w:shd w:fill="CCEEFF" w:val="clear"/>
            <w:vAlign w:val="center"/>
          </w:tcPr>
          <w:p>
            <w:pPr>
              <w:pStyle w:val="TableContents"/>
              <w:bidi w:val="0"/>
              <w:spacing w:before="0" w:after="283"/>
              <w:jc w:val="left"/>
              <w:rPr/>
            </w:pPr>
            <w:hyperlink w:anchor="a_002">
              <w:r>
                <w:rPr>
                  <w:rStyle w:val="InternetLink"/>
                  <w:sz w:val="20"/>
                </w:rPr>
                <w:t>Financial Statements (unaudited)</w:t>
              </w:r>
            </w:hyperlink>
          </w:p>
        </w:tc>
        <w:tc>
          <w:tcPr>
            <w:tcW w:w="470" w:type="dxa"/>
            <w:tcBorders/>
            <w:shd w:fill="CCEEFF" w:val="clear"/>
            <w:vAlign w:val="center"/>
          </w:tcPr>
          <w:p>
            <w:pPr>
              <w:pStyle w:val="TableContents"/>
              <w:bidi w:val="0"/>
              <w:spacing w:before="0" w:after="283"/>
              <w:jc w:val="center"/>
              <w:rPr>
                <w:sz w:val="20"/>
              </w:rPr>
            </w:pPr>
            <w:r>
              <w:rPr>
                <w:sz w:val="20"/>
              </w:rPr>
              <w:t>1</w:t>
            </w:r>
          </w:p>
        </w:tc>
      </w:tr>
      <w:tr>
        <w:trPr/>
        <w:tc>
          <w:tcPr>
            <w:tcW w:w="740" w:type="dxa"/>
            <w:tcBorders/>
            <w:vAlign w:val="center"/>
          </w:tcPr>
          <w:p>
            <w:pPr>
              <w:pStyle w:val="TableContents"/>
              <w:bidi w:val="0"/>
              <w:spacing w:before="0" w:after="283"/>
              <w:jc w:val="left"/>
              <w:rPr>
                <w:sz w:val="20"/>
              </w:rPr>
            </w:pPr>
            <w:r>
              <w:rPr>
                <w:sz w:val="20"/>
              </w:rPr>
              <w:t>Item 2:</w:t>
            </w:r>
          </w:p>
        </w:tc>
        <w:tc>
          <w:tcPr>
            <w:tcW w:w="7280" w:type="dxa"/>
            <w:tcBorders/>
            <w:vAlign w:val="center"/>
          </w:tcPr>
          <w:p>
            <w:pPr>
              <w:pStyle w:val="TableContents"/>
              <w:bidi w:val="0"/>
              <w:spacing w:before="0" w:after="283"/>
              <w:jc w:val="left"/>
              <w:rPr/>
            </w:pPr>
            <w:hyperlink w:anchor="a_008">
              <w:r>
                <w:rPr>
                  <w:rStyle w:val="InternetLink"/>
                  <w:sz w:val="20"/>
                </w:rPr>
                <w:t>Management’s Discussion and Analysis of Financial Condition and Results of Operations</w:t>
              </w:r>
            </w:hyperlink>
          </w:p>
        </w:tc>
        <w:tc>
          <w:tcPr>
            <w:tcW w:w="470" w:type="dxa"/>
            <w:tcBorders/>
            <w:vAlign w:val="center"/>
          </w:tcPr>
          <w:p>
            <w:pPr>
              <w:pStyle w:val="TableContents"/>
              <w:bidi w:val="0"/>
              <w:spacing w:before="0" w:after="283"/>
              <w:jc w:val="center"/>
              <w:rPr>
                <w:sz w:val="20"/>
              </w:rPr>
            </w:pPr>
            <w:r>
              <w:rPr>
                <w:sz w:val="20"/>
              </w:rPr>
              <w:t>11</w:t>
            </w:r>
          </w:p>
        </w:tc>
      </w:tr>
      <w:tr>
        <w:trPr/>
        <w:tc>
          <w:tcPr>
            <w:tcW w:w="740" w:type="dxa"/>
            <w:tcBorders/>
            <w:shd w:fill="CCEEFF" w:val="clear"/>
            <w:vAlign w:val="center"/>
          </w:tcPr>
          <w:p>
            <w:pPr>
              <w:pStyle w:val="TableContents"/>
              <w:bidi w:val="0"/>
              <w:spacing w:before="0" w:after="283"/>
              <w:jc w:val="left"/>
              <w:rPr>
                <w:sz w:val="20"/>
              </w:rPr>
            </w:pPr>
            <w:r>
              <w:rPr>
                <w:sz w:val="20"/>
              </w:rPr>
              <w:t>Item 3:</w:t>
            </w:r>
          </w:p>
        </w:tc>
        <w:tc>
          <w:tcPr>
            <w:tcW w:w="7280" w:type="dxa"/>
            <w:tcBorders/>
            <w:shd w:fill="CCEEFF" w:val="clear"/>
            <w:vAlign w:val="center"/>
          </w:tcPr>
          <w:p>
            <w:pPr>
              <w:pStyle w:val="TableContents"/>
              <w:bidi w:val="0"/>
              <w:spacing w:before="0" w:after="283"/>
              <w:jc w:val="left"/>
              <w:rPr/>
            </w:pPr>
            <w:hyperlink w:anchor="a_009">
              <w:r>
                <w:rPr>
                  <w:rStyle w:val="InternetLink"/>
                  <w:sz w:val="20"/>
                </w:rPr>
                <w:t>Quantitative and Qualitative Disclosures About Market Risk</w:t>
              </w:r>
            </w:hyperlink>
          </w:p>
        </w:tc>
        <w:tc>
          <w:tcPr>
            <w:tcW w:w="470" w:type="dxa"/>
            <w:tcBorders/>
            <w:shd w:fill="CCEEFF" w:val="clear"/>
            <w:vAlign w:val="center"/>
          </w:tcPr>
          <w:p>
            <w:pPr>
              <w:pStyle w:val="TableContents"/>
              <w:bidi w:val="0"/>
              <w:spacing w:before="0" w:after="283"/>
              <w:jc w:val="center"/>
              <w:rPr>
                <w:sz w:val="20"/>
              </w:rPr>
            </w:pPr>
            <w:r>
              <w:rPr>
                <w:sz w:val="20"/>
              </w:rPr>
              <w:t>17</w:t>
            </w:r>
          </w:p>
        </w:tc>
      </w:tr>
      <w:tr>
        <w:trPr/>
        <w:tc>
          <w:tcPr>
            <w:tcW w:w="740" w:type="dxa"/>
            <w:tcBorders/>
            <w:vAlign w:val="center"/>
          </w:tcPr>
          <w:p>
            <w:pPr>
              <w:pStyle w:val="TableContents"/>
              <w:bidi w:val="0"/>
              <w:spacing w:before="0" w:after="283"/>
              <w:jc w:val="left"/>
              <w:rPr>
                <w:sz w:val="20"/>
              </w:rPr>
            </w:pPr>
            <w:r>
              <w:rPr>
                <w:sz w:val="20"/>
              </w:rPr>
              <w:t>Item 4:</w:t>
            </w:r>
          </w:p>
        </w:tc>
        <w:tc>
          <w:tcPr>
            <w:tcW w:w="7280" w:type="dxa"/>
            <w:tcBorders/>
            <w:vAlign w:val="center"/>
          </w:tcPr>
          <w:p>
            <w:pPr>
              <w:pStyle w:val="TableContents"/>
              <w:bidi w:val="0"/>
              <w:spacing w:before="0" w:after="283"/>
              <w:jc w:val="left"/>
              <w:rPr/>
            </w:pPr>
            <w:hyperlink w:anchor="a_010">
              <w:r>
                <w:rPr>
                  <w:rStyle w:val="InternetLink"/>
                  <w:sz w:val="20"/>
                </w:rPr>
                <w:t>Controls and Procedures</w:t>
              </w:r>
            </w:hyperlink>
          </w:p>
        </w:tc>
        <w:tc>
          <w:tcPr>
            <w:tcW w:w="470" w:type="dxa"/>
            <w:tcBorders/>
            <w:vAlign w:val="center"/>
          </w:tcPr>
          <w:p>
            <w:pPr>
              <w:pStyle w:val="TableContents"/>
              <w:bidi w:val="0"/>
              <w:spacing w:before="0" w:after="283"/>
              <w:jc w:val="center"/>
              <w:rPr>
                <w:sz w:val="20"/>
              </w:rPr>
            </w:pPr>
            <w:r>
              <w:rPr>
                <w:sz w:val="20"/>
              </w:rPr>
              <w:t>17</w:t>
            </w:r>
          </w:p>
        </w:tc>
      </w:tr>
      <w:tr>
        <w:trPr/>
        <w:tc>
          <w:tcPr>
            <w:tcW w:w="74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r>
      <w:tr>
        <w:trPr/>
        <w:tc>
          <w:tcPr>
            <w:tcW w:w="74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center"/>
              <w:rPr/>
            </w:pPr>
            <w:hyperlink w:anchor="a_011">
              <w:r>
                <w:rPr>
                  <w:rStyle w:val="InternetLink"/>
                  <w:b/>
                  <w:sz w:val="20"/>
                </w:rPr>
                <w:t>PART II — OTHER INFORMATION</w:t>
              </w:r>
            </w:hyperlink>
          </w:p>
        </w:tc>
        <w:tc>
          <w:tcPr>
            <w:tcW w:w="470" w:type="dxa"/>
            <w:tcBorders/>
            <w:vAlign w:val="center"/>
          </w:tcPr>
          <w:p>
            <w:pPr>
              <w:pStyle w:val="TableContents"/>
              <w:bidi w:val="0"/>
              <w:spacing w:before="0" w:after="283"/>
              <w:jc w:val="center"/>
              <w:rPr/>
            </w:pPr>
            <w:r>
              <w:rPr/>
              <w:t> </w:t>
            </w:r>
          </w:p>
        </w:tc>
      </w:tr>
      <w:tr>
        <w:trPr/>
        <w:tc>
          <w:tcPr>
            <w:tcW w:w="74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sz w:val="20"/>
              </w:rPr>
            </w:pPr>
            <w:r>
              <w:rPr>
                <w:sz w:val="20"/>
              </w:rPr>
              <w:t>Item 1:</w:t>
            </w:r>
          </w:p>
        </w:tc>
        <w:tc>
          <w:tcPr>
            <w:tcW w:w="7280" w:type="dxa"/>
            <w:tcBorders/>
            <w:vAlign w:val="center"/>
          </w:tcPr>
          <w:p>
            <w:pPr>
              <w:pStyle w:val="TableContents"/>
              <w:bidi w:val="0"/>
              <w:spacing w:before="0" w:after="283"/>
              <w:jc w:val="left"/>
              <w:rPr/>
            </w:pPr>
            <w:hyperlink w:anchor="a_012">
              <w:r>
                <w:rPr>
                  <w:rStyle w:val="InternetLink"/>
                  <w:sz w:val="20"/>
                </w:rPr>
                <w:t>Legal Proceedings</w:t>
              </w:r>
            </w:hyperlink>
          </w:p>
        </w:tc>
        <w:tc>
          <w:tcPr>
            <w:tcW w:w="470" w:type="dxa"/>
            <w:tcBorders/>
            <w:vAlign w:val="center"/>
          </w:tcPr>
          <w:p>
            <w:pPr>
              <w:pStyle w:val="TableContents"/>
              <w:bidi w:val="0"/>
              <w:spacing w:before="0" w:after="283"/>
              <w:jc w:val="center"/>
              <w:rPr>
                <w:sz w:val="20"/>
              </w:rPr>
            </w:pPr>
            <w:r>
              <w:rPr>
                <w:sz w:val="20"/>
              </w:rPr>
              <w:t>18</w:t>
            </w:r>
          </w:p>
        </w:tc>
      </w:tr>
      <w:tr>
        <w:trPr/>
        <w:tc>
          <w:tcPr>
            <w:tcW w:w="740" w:type="dxa"/>
            <w:tcBorders/>
            <w:shd w:fill="CCEEFF" w:val="clear"/>
            <w:vAlign w:val="center"/>
          </w:tcPr>
          <w:p>
            <w:pPr>
              <w:pStyle w:val="TableContents"/>
              <w:bidi w:val="0"/>
              <w:spacing w:before="0" w:after="283"/>
              <w:jc w:val="left"/>
              <w:rPr>
                <w:sz w:val="20"/>
              </w:rPr>
            </w:pPr>
            <w:r>
              <w:rPr>
                <w:sz w:val="20"/>
              </w:rPr>
              <w:t>Item 1A:</w:t>
            </w:r>
          </w:p>
        </w:tc>
        <w:tc>
          <w:tcPr>
            <w:tcW w:w="7280" w:type="dxa"/>
            <w:tcBorders/>
            <w:shd w:fill="CCEEFF" w:val="clear"/>
            <w:vAlign w:val="center"/>
          </w:tcPr>
          <w:p>
            <w:pPr>
              <w:pStyle w:val="TableContents"/>
              <w:bidi w:val="0"/>
              <w:spacing w:before="0" w:after="283"/>
              <w:jc w:val="left"/>
              <w:rPr/>
            </w:pPr>
            <w:hyperlink w:anchor="a_013">
              <w:r>
                <w:rPr>
                  <w:rStyle w:val="InternetLink"/>
                  <w:sz w:val="20"/>
                </w:rPr>
                <w:t>Risk Factors</w:t>
              </w:r>
            </w:hyperlink>
          </w:p>
        </w:tc>
        <w:tc>
          <w:tcPr>
            <w:tcW w:w="470" w:type="dxa"/>
            <w:tcBorders/>
            <w:shd w:fill="CCEEFF" w:val="clear"/>
            <w:vAlign w:val="center"/>
          </w:tcPr>
          <w:p>
            <w:pPr>
              <w:pStyle w:val="TableContents"/>
              <w:bidi w:val="0"/>
              <w:spacing w:before="0" w:after="283"/>
              <w:jc w:val="center"/>
              <w:rPr>
                <w:sz w:val="20"/>
              </w:rPr>
            </w:pPr>
            <w:r>
              <w:rPr>
                <w:sz w:val="20"/>
              </w:rPr>
              <w:t>18</w:t>
            </w:r>
          </w:p>
        </w:tc>
      </w:tr>
      <w:tr>
        <w:trPr/>
        <w:tc>
          <w:tcPr>
            <w:tcW w:w="740" w:type="dxa"/>
            <w:tcBorders/>
            <w:vAlign w:val="center"/>
          </w:tcPr>
          <w:p>
            <w:pPr>
              <w:pStyle w:val="TableContents"/>
              <w:bidi w:val="0"/>
              <w:spacing w:before="0" w:after="283"/>
              <w:jc w:val="left"/>
              <w:rPr>
                <w:sz w:val="20"/>
              </w:rPr>
            </w:pPr>
            <w:r>
              <w:rPr>
                <w:sz w:val="20"/>
              </w:rPr>
              <w:t>Item 2:</w:t>
            </w:r>
          </w:p>
        </w:tc>
        <w:tc>
          <w:tcPr>
            <w:tcW w:w="7280" w:type="dxa"/>
            <w:tcBorders/>
            <w:vAlign w:val="center"/>
          </w:tcPr>
          <w:p>
            <w:pPr>
              <w:pStyle w:val="TableContents"/>
              <w:bidi w:val="0"/>
              <w:spacing w:before="0" w:after="283"/>
              <w:jc w:val="left"/>
              <w:rPr/>
            </w:pPr>
            <w:hyperlink w:anchor="a_014">
              <w:r>
                <w:rPr>
                  <w:rStyle w:val="InternetLink"/>
                  <w:sz w:val="20"/>
                </w:rPr>
                <w:t>Unregistered Sales of Equity Securities and Use of Proceeds</w:t>
              </w:r>
            </w:hyperlink>
          </w:p>
        </w:tc>
        <w:tc>
          <w:tcPr>
            <w:tcW w:w="470" w:type="dxa"/>
            <w:tcBorders/>
            <w:vAlign w:val="center"/>
          </w:tcPr>
          <w:p>
            <w:pPr>
              <w:pStyle w:val="TableContents"/>
              <w:bidi w:val="0"/>
              <w:spacing w:before="0" w:after="283"/>
              <w:jc w:val="center"/>
              <w:rPr>
                <w:sz w:val="20"/>
              </w:rPr>
            </w:pPr>
            <w:r>
              <w:rPr>
                <w:sz w:val="20"/>
              </w:rPr>
              <w:t>18</w:t>
            </w:r>
          </w:p>
        </w:tc>
      </w:tr>
      <w:tr>
        <w:trPr/>
        <w:tc>
          <w:tcPr>
            <w:tcW w:w="740" w:type="dxa"/>
            <w:tcBorders/>
            <w:shd w:fill="CCEEFF" w:val="clear"/>
            <w:vAlign w:val="center"/>
          </w:tcPr>
          <w:p>
            <w:pPr>
              <w:pStyle w:val="TableContents"/>
              <w:bidi w:val="0"/>
              <w:spacing w:before="0" w:after="283"/>
              <w:jc w:val="left"/>
              <w:rPr>
                <w:sz w:val="20"/>
              </w:rPr>
            </w:pPr>
            <w:r>
              <w:rPr>
                <w:sz w:val="20"/>
              </w:rPr>
              <w:t>Item 3:</w:t>
            </w:r>
          </w:p>
        </w:tc>
        <w:tc>
          <w:tcPr>
            <w:tcW w:w="7280" w:type="dxa"/>
            <w:tcBorders/>
            <w:shd w:fill="CCEEFF" w:val="clear"/>
            <w:vAlign w:val="center"/>
          </w:tcPr>
          <w:p>
            <w:pPr>
              <w:pStyle w:val="TableContents"/>
              <w:bidi w:val="0"/>
              <w:spacing w:before="0" w:after="283"/>
              <w:jc w:val="left"/>
              <w:rPr/>
            </w:pPr>
            <w:hyperlink w:anchor="a_015">
              <w:r>
                <w:rPr>
                  <w:rStyle w:val="InternetLink"/>
                  <w:sz w:val="20"/>
                </w:rPr>
                <w:t>Defaults Upon Senior Securities</w:t>
              </w:r>
            </w:hyperlink>
          </w:p>
        </w:tc>
        <w:tc>
          <w:tcPr>
            <w:tcW w:w="470" w:type="dxa"/>
            <w:tcBorders/>
            <w:shd w:fill="CCEEFF" w:val="clear"/>
            <w:vAlign w:val="center"/>
          </w:tcPr>
          <w:p>
            <w:pPr>
              <w:pStyle w:val="TableContents"/>
              <w:bidi w:val="0"/>
              <w:spacing w:before="0" w:after="283"/>
              <w:jc w:val="center"/>
              <w:rPr>
                <w:sz w:val="20"/>
              </w:rPr>
            </w:pPr>
            <w:r>
              <w:rPr>
                <w:sz w:val="20"/>
              </w:rPr>
              <w:t>18</w:t>
            </w:r>
          </w:p>
        </w:tc>
      </w:tr>
      <w:tr>
        <w:trPr/>
        <w:tc>
          <w:tcPr>
            <w:tcW w:w="740" w:type="dxa"/>
            <w:tcBorders/>
            <w:vAlign w:val="center"/>
          </w:tcPr>
          <w:p>
            <w:pPr>
              <w:pStyle w:val="TableContents"/>
              <w:bidi w:val="0"/>
              <w:spacing w:before="0" w:after="283"/>
              <w:jc w:val="left"/>
              <w:rPr>
                <w:sz w:val="20"/>
              </w:rPr>
            </w:pPr>
            <w:r>
              <w:rPr>
                <w:sz w:val="20"/>
              </w:rPr>
              <w:t>Item 4:</w:t>
            </w:r>
          </w:p>
        </w:tc>
        <w:tc>
          <w:tcPr>
            <w:tcW w:w="7280" w:type="dxa"/>
            <w:tcBorders/>
            <w:vAlign w:val="center"/>
          </w:tcPr>
          <w:p>
            <w:pPr>
              <w:pStyle w:val="TableContents"/>
              <w:bidi w:val="0"/>
              <w:spacing w:before="0" w:after="283"/>
              <w:jc w:val="left"/>
              <w:rPr/>
            </w:pPr>
            <w:hyperlink w:anchor="a_016">
              <w:r>
                <w:rPr>
                  <w:rStyle w:val="InternetLink"/>
                  <w:sz w:val="20"/>
                </w:rPr>
                <w:t>Mine Safety Disclosure</w:t>
              </w:r>
            </w:hyperlink>
          </w:p>
        </w:tc>
        <w:tc>
          <w:tcPr>
            <w:tcW w:w="470" w:type="dxa"/>
            <w:tcBorders/>
            <w:vAlign w:val="center"/>
          </w:tcPr>
          <w:p>
            <w:pPr>
              <w:pStyle w:val="TableContents"/>
              <w:bidi w:val="0"/>
              <w:spacing w:before="0" w:after="283"/>
              <w:jc w:val="center"/>
              <w:rPr>
                <w:sz w:val="20"/>
              </w:rPr>
            </w:pPr>
            <w:r>
              <w:rPr>
                <w:sz w:val="20"/>
              </w:rPr>
              <w:t>18</w:t>
            </w:r>
          </w:p>
        </w:tc>
      </w:tr>
      <w:tr>
        <w:trPr/>
        <w:tc>
          <w:tcPr>
            <w:tcW w:w="740" w:type="dxa"/>
            <w:tcBorders/>
            <w:shd w:fill="CCEEFF" w:val="clear"/>
            <w:vAlign w:val="center"/>
          </w:tcPr>
          <w:p>
            <w:pPr>
              <w:pStyle w:val="TableContents"/>
              <w:bidi w:val="0"/>
              <w:spacing w:before="0" w:after="283"/>
              <w:jc w:val="left"/>
              <w:rPr>
                <w:sz w:val="20"/>
              </w:rPr>
            </w:pPr>
            <w:r>
              <w:rPr>
                <w:sz w:val="20"/>
              </w:rPr>
              <w:t>Item 5:</w:t>
            </w:r>
          </w:p>
        </w:tc>
        <w:tc>
          <w:tcPr>
            <w:tcW w:w="7280" w:type="dxa"/>
            <w:tcBorders/>
            <w:shd w:fill="CCEEFF" w:val="clear"/>
            <w:vAlign w:val="center"/>
          </w:tcPr>
          <w:p>
            <w:pPr>
              <w:pStyle w:val="TableContents"/>
              <w:bidi w:val="0"/>
              <w:spacing w:before="0" w:after="283"/>
              <w:jc w:val="left"/>
              <w:rPr/>
            </w:pPr>
            <w:hyperlink w:anchor="a_017">
              <w:r>
                <w:rPr>
                  <w:rStyle w:val="InternetLink"/>
                  <w:sz w:val="20"/>
                </w:rPr>
                <w:t>Other Information</w:t>
              </w:r>
            </w:hyperlink>
          </w:p>
        </w:tc>
        <w:tc>
          <w:tcPr>
            <w:tcW w:w="470" w:type="dxa"/>
            <w:tcBorders/>
            <w:shd w:fill="CCEEFF" w:val="clear"/>
            <w:vAlign w:val="center"/>
          </w:tcPr>
          <w:p>
            <w:pPr>
              <w:pStyle w:val="TableContents"/>
              <w:bidi w:val="0"/>
              <w:spacing w:before="0" w:after="283"/>
              <w:jc w:val="center"/>
              <w:rPr>
                <w:sz w:val="20"/>
              </w:rPr>
            </w:pPr>
            <w:r>
              <w:rPr>
                <w:sz w:val="20"/>
              </w:rPr>
              <w:t>18</w:t>
            </w:r>
          </w:p>
        </w:tc>
      </w:tr>
      <w:tr>
        <w:trPr/>
        <w:tc>
          <w:tcPr>
            <w:tcW w:w="740" w:type="dxa"/>
            <w:tcBorders/>
            <w:vAlign w:val="center"/>
          </w:tcPr>
          <w:p>
            <w:pPr>
              <w:pStyle w:val="TableContents"/>
              <w:bidi w:val="0"/>
              <w:spacing w:before="0" w:after="283"/>
              <w:jc w:val="left"/>
              <w:rPr>
                <w:sz w:val="20"/>
              </w:rPr>
            </w:pPr>
            <w:r>
              <w:rPr>
                <w:sz w:val="20"/>
              </w:rPr>
              <w:t>Item 6:</w:t>
            </w:r>
          </w:p>
        </w:tc>
        <w:tc>
          <w:tcPr>
            <w:tcW w:w="7280" w:type="dxa"/>
            <w:tcBorders/>
            <w:vAlign w:val="center"/>
          </w:tcPr>
          <w:p>
            <w:pPr>
              <w:pStyle w:val="TableContents"/>
              <w:bidi w:val="0"/>
              <w:spacing w:before="0" w:after="283"/>
              <w:jc w:val="left"/>
              <w:rPr/>
            </w:pPr>
            <w:hyperlink w:anchor="a_018">
              <w:r>
                <w:rPr>
                  <w:rStyle w:val="InternetLink"/>
                  <w:sz w:val="20"/>
                </w:rPr>
                <w:t>Exhibits</w:t>
              </w:r>
            </w:hyperlink>
          </w:p>
        </w:tc>
        <w:tc>
          <w:tcPr>
            <w:tcW w:w="470" w:type="dxa"/>
            <w:tcBorders/>
            <w:vAlign w:val="center"/>
          </w:tcPr>
          <w:p>
            <w:pPr>
              <w:pStyle w:val="TableContents"/>
              <w:bidi w:val="0"/>
              <w:spacing w:before="0" w:after="283"/>
              <w:jc w:val="center"/>
              <w:rPr>
                <w:sz w:val="20"/>
              </w:rPr>
            </w:pPr>
            <w:r>
              <w:rPr>
                <w:sz w:val="20"/>
              </w:rPr>
              <w:t>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included in this Form 10-Q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shd w:fill="CCEEFF" w:val="clear"/>
            <w:vAlign w:val="center"/>
          </w:tcPr>
          <w:p>
            <w:pPr>
              <w:pStyle w:val="TableContents"/>
              <w:bidi w:val="0"/>
              <w:spacing w:before="0" w:after="0"/>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78" w:type="dxa"/>
            <w:tcBorders/>
            <w:shd w:fill="CCEEFF" w:val="clear"/>
            <w:vAlign w:val="center"/>
          </w:tcPr>
          <w:p>
            <w:pPr>
              <w:pStyle w:val="TableContents"/>
              <w:bidi w:val="0"/>
              <w:spacing w:before="0" w:after="283"/>
              <w:jc w:val="both"/>
              <w:rPr/>
            </w:pPr>
            <w:hyperlink w:anchor="a_003">
              <w:r>
                <w:rPr>
                  <w:rStyle w:val="InternetLink"/>
                  <w:sz w:val="20"/>
                </w:rPr>
                <w:t>Condensed Consolidated Balance Sheets as of March 31, 2023 (unaudited) and December 31, 2022 (unaudited);</w:t>
              </w:r>
            </w:hyperlink>
          </w:p>
        </w:tc>
      </w:tr>
      <w:tr>
        <w:trPr/>
        <w:tc>
          <w:tcPr>
            <w:tcW w:w="127" w:type="dxa"/>
            <w:tcBorders/>
            <w:vAlign w:val="center"/>
          </w:tcPr>
          <w:p>
            <w:pPr>
              <w:pStyle w:val="TableContents"/>
              <w:bidi w:val="0"/>
              <w:spacing w:before="0" w:after="283"/>
              <w:ind w:left="0" w:right="0" w:hanging="180"/>
              <w:jc w:val="center"/>
              <w:rPr>
                <w:sz w:val="20"/>
              </w:rPr>
            </w:pPr>
            <w:r>
              <w:rPr>
                <w:sz w:val="20"/>
              </w:rPr>
              <w:t>3</w:t>
            </w:r>
          </w:p>
        </w:tc>
        <w:tc>
          <w:tcPr>
            <w:tcW w:w="10078" w:type="dxa"/>
            <w:tcBorders/>
            <w:vAlign w:val="center"/>
          </w:tcPr>
          <w:p>
            <w:pPr>
              <w:pStyle w:val="TableContents"/>
              <w:bidi w:val="0"/>
              <w:spacing w:before="0" w:after="283"/>
              <w:jc w:val="both"/>
              <w:rPr/>
            </w:pPr>
            <w:hyperlink w:anchor="a_004">
              <w:r>
                <w:rPr>
                  <w:rStyle w:val="InternetLink"/>
                  <w:sz w:val="20"/>
                </w:rPr>
                <w:t>Condensed Consolidated Statements of Operations for the three months ended March 31, 2023 and 2022 (unaudited);</w:t>
              </w:r>
            </w:hyperlink>
          </w:p>
        </w:tc>
      </w:tr>
      <w:tr>
        <w:trPr/>
        <w:tc>
          <w:tcPr>
            <w:tcW w:w="127" w:type="dxa"/>
            <w:tcBorders/>
            <w:shd w:fill="CCEEFF" w:val="clear"/>
            <w:vAlign w:val="center"/>
          </w:tcPr>
          <w:p>
            <w:pPr>
              <w:pStyle w:val="TableContents"/>
              <w:bidi w:val="0"/>
              <w:spacing w:before="0" w:after="283"/>
              <w:ind w:left="0" w:right="0" w:hanging="180"/>
              <w:jc w:val="center"/>
              <w:rPr>
                <w:sz w:val="20"/>
              </w:rPr>
            </w:pPr>
            <w:r>
              <w:rPr>
                <w:sz w:val="20"/>
              </w:rPr>
              <w:t>4</w:t>
            </w:r>
          </w:p>
        </w:tc>
        <w:tc>
          <w:tcPr>
            <w:tcW w:w="10078" w:type="dxa"/>
            <w:tcBorders/>
            <w:shd w:fill="CCEEFF" w:val="clear"/>
            <w:vAlign w:val="center"/>
          </w:tcPr>
          <w:p>
            <w:pPr>
              <w:pStyle w:val="TableContents"/>
              <w:bidi w:val="0"/>
              <w:spacing w:before="0" w:after="283"/>
              <w:jc w:val="both"/>
              <w:rPr/>
            </w:pPr>
            <w:hyperlink w:anchor="a_005">
              <w:r>
                <w:rPr>
                  <w:rStyle w:val="InternetLink"/>
                  <w:sz w:val="20"/>
                </w:rPr>
                <w:t>Condensed Consolidated Statements of Changes in Stockholders’ Equity for the three months ended March 31, 2023 and 2022 (unaudited);</w:t>
              </w:r>
            </w:hyperlink>
          </w:p>
        </w:tc>
      </w:tr>
      <w:tr>
        <w:trPr/>
        <w:tc>
          <w:tcPr>
            <w:tcW w:w="127" w:type="dxa"/>
            <w:tcBorders/>
            <w:vAlign w:val="center"/>
          </w:tcPr>
          <w:p>
            <w:pPr>
              <w:pStyle w:val="TableContents"/>
              <w:bidi w:val="0"/>
              <w:spacing w:before="0" w:after="283"/>
              <w:ind w:left="0" w:right="0" w:hanging="180"/>
              <w:jc w:val="center"/>
              <w:rPr>
                <w:sz w:val="20"/>
              </w:rPr>
            </w:pPr>
            <w:r>
              <w:rPr>
                <w:sz w:val="20"/>
              </w:rPr>
              <w:t>5</w:t>
            </w:r>
          </w:p>
        </w:tc>
        <w:tc>
          <w:tcPr>
            <w:tcW w:w="10078" w:type="dxa"/>
            <w:tcBorders/>
            <w:vAlign w:val="center"/>
          </w:tcPr>
          <w:p>
            <w:pPr>
              <w:pStyle w:val="TableContents"/>
              <w:bidi w:val="0"/>
              <w:spacing w:before="0" w:after="283"/>
              <w:jc w:val="both"/>
              <w:rPr/>
            </w:pPr>
            <w:hyperlink w:anchor="a_006">
              <w:r>
                <w:rPr>
                  <w:rStyle w:val="InternetLink"/>
                  <w:sz w:val="20"/>
                </w:rPr>
                <w:t>Condensed Consolidated Statements of Cash Flows for the three months ended March 31, 2023 and 2022 (unaudited);</w:t>
              </w:r>
            </w:hyperlink>
          </w:p>
        </w:tc>
      </w:tr>
      <w:tr>
        <w:trPr/>
        <w:tc>
          <w:tcPr>
            <w:tcW w:w="127" w:type="dxa"/>
            <w:tcBorders/>
            <w:shd w:fill="CCEEFF" w:val="clear"/>
            <w:vAlign w:val="center"/>
          </w:tcPr>
          <w:p>
            <w:pPr>
              <w:pStyle w:val="TableContents"/>
              <w:bidi w:val="0"/>
              <w:spacing w:before="0" w:after="283"/>
              <w:ind w:left="0" w:right="0" w:hanging="180"/>
              <w:jc w:val="center"/>
              <w:rPr>
                <w:sz w:val="20"/>
              </w:rPr>
            </w:pPr>
            <w:r>
              <w:rPr>
                <w:sz w:val="20"/>
              </w:rPr>
              <w:t>6</w:t>
            </w:r>
          </w:p>
        </w:tc>
        <w:tc>
          <w:tcPr>
            <w:tcW w:w="10078" w:type="dxa"/>
            <w:tcBorders/>
            <w:shd w:fill="CCEEFF" w:val="clear"/>
            <w:vAlign w:val="center"/>
          </w:tcPr>
          <w:p>
            <w:pPr>
              <w:pStyle w:val="TableContents"/>
              <w:bidi w:val="0"/>
              <w:spacing w:before="0" w:after="283"/>
              <w:jc w:val="left"/>
              <w:rPr/>
            </w:pPr>
            <w:hyperlink w:anchor="a_007">
              <w:r>
                <w:rPr>
                  <w:rStyle w:val="InternetLink"/>
                  <w:sz w:val="20"/>
                </w:rPr>
                <w:t>Notes to Condensed Consolidated Financial Statements (unaudited).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1"/>
        <w:gridCol w:w="60"/>
        <w:gridCol w:w="140"/>
        <w:gridCol w:w="1220"/>
        <w:gridCol w:w="95"/>
        <w:gridCol w:w="60"/>
        <w:gridCol w:w="140"/>
        <w:gridCol w:w="1220"/>
        <w:gridCol w:w="89"/>
      </w:tblGrid>
      <w:tr>
        <w:trPr/>
        <w:tc>
          <w:tcPr>
            <w:tcW w:w="7181"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March 31,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December 31,</w:t>
              <w:br/>
              <w:t>2022</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7181"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16,443,666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18,208,685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Short-term investments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57,258,234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55,931,821</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18,164,687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22,155,301</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Prepaid expenses and other</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4,014,853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2,280,828</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95,881,440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98,576,635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Property and equipment, net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143,924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137,448</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Goodwill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22,673,820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22,673,820</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Technology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7,591,461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7,702,895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Patent rights, net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1,886,008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1,940,178</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Right of use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213,324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235,320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Other intangible assets, net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3,302,563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3,384,889</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Total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35,667,176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35,937,102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TOTAL ASSETS</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tcMar>
              <w:bottom w:w="28" w:type="dxa"/>
            </w:tcMar>
            <w:vAlign w:val="center"/>
          </w:tcPr>
          <w:p>
            <w:pPr>
              <w:pStyle w:val="TableContents"/>
              <w:bidi w:val="0"/>
              <w:spacing w:before="0" w:after="283"/>
              <w:jc w:val="right"/>
              <w:rPr/>
            </w:pPr>
            <w:r>
              <w:rPr/>
              <w:t>131,692,540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tcMar>
              <w:bottom w:w="28" w:type="dxa"/>
            </w:tcMar>
            <w:vAlign w:val="center"/>
          </w:tcPr>
          <w:p>
            <w:pPr>
              <w:pStyle w:val="TableContents"/>
              <w:bidi w:val="0"/>
              <w:spacing w:before="0" w:after="283"/>
              <w:jc w:val="right"/>
              <w:rPr/>
            </w:pPr>
            <w:r>
              <w:rPr/>
              <w:t>134,651,185</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7181" w:type="dxa"/>
            <w:tcBorders/>
            <w:vAlign w:val="center"/>
          </w:tcPr>
          <w:p>
            <w:pPr>
              <w:pStyle w:val="TableContents"/>
              <w:bidi w:val="0"/>
              <w:spacing w:before="0" w:after="283"/>
              <w:jc w:val="center"/>
              <w:rPr>
                <w:b/>
              </w:rPr>
            </w:pPr>
            <w:r>
              <w:rPr>
                <w:b/>
              </w:rPr>
              <w:t>LIABILITIES AND STOCKHOLDERS’ EQUITY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Accounts payable – trade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1,288,854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1,549,979</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2,124,777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2,601,246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Revenue share payable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3,367,483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3,990,440</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Current portion of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89,902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Deferred revenue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735,140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164,309</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7,605,541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8,395,876</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Non-current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123,227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144,532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Total liabilities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7,728,768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8,540,408</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Commitments and contingencies (See note 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Stockholders’ equity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Preferred stock, $0.001 par value, 10,000,000 shares authorized, none issued and outstanding at March 31, 2023 or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jc w:val="right"/>
              <w:rPr/>
            </w:pPr>
            <w:r>
              <w:rPr/>
              <w:t>—</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181" w:type="dxa"/>
            <w:tcBorders/>
            <w:vAlign w:val="center"/>
          </w:tcPr>
          <w:p>
            <w:pPr>
              <w:pStyle w:val="TableContents"/>
              <w:bidi w:val="0"/>
              <w:spacing w:before="0" w:after="283"/>
              <w:jc w:val="left"/>
              <w:rPr/>
            </w:pPr>
            <w:r>
              <w:rPr/>
              <w:t>Common stock, $0.001 par value, 166,666,667 shares authorized, 18,331,511 and 18,288,571 shares issued at March 31, 2023 and December 31, 2022, respectively</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18,332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18,289</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Treasury stock, $0.001 par value, 1,214,398 shares held at March 31, 2023 and December 31,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(1,214</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181" w:type="dxa"/>
            <w:tcBorders/>
            <w:vAlign w:val="center"/>
          </w:tcPr>
          <w:p>
            <w:pPr>
              <w:pStyle w:val="TableContents"/>
              <w:bidi w:val="0"/>
              <w:spacing w:before="0" w:after="283"/>
              <w:jc w:val="left"/>
              <w:rPr/>
            </w:pPr>
            <w:r>
              <w:rPr/>
              <w:t>Additional paid-in-capital</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177,036,466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172,785,800</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(53,089,812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(46,692,098</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181" w:type="dxa"/>
            <w:tcBorders/>
            <w:vAlign w:val="center"/>
          </w:tcPr>
          <w:p>
            <w:pPr>
              <w:pStyle w:val="TableContents"/>
              <w:bidi w:val="0"/>
              <w:spacing w:before="0" w:after="283"/>
              <w:jc w:val="left"/>
              <w:rPr/>
            </w:pPr>
            <w:r>
              <w:rPr/>
              <w:t>Total stockholders’ equity</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123,963,772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tcMar>
              <w:bottom w:w="28" w:type="dxa"/>
            </w:tcMar>
            <w:vAlign w:val="center"/>
          </w:tcPr>
          <w:p>
            <w:pPr>
              <w:pStyle w:val="TableContents"/>
              <w:bidi w:val="0"/>
              <w:spacing w:before="0" w:after="283"/>
              <w:jc w:val="right"/>
              <w:rPr/>
            </w:pPr>
            <w:r>
              <w:rPr/>
              <w:t>126,110,777</w:t>
            </w:r>
          </w:p>
        </w:tc>
        <w:tc>
          <w:tcPr>
            <w:tcW w:w="89" w:type="dxa"/>
            <w:tcBorders/>
            <w:vAlign w:val="center"/>
          </w:tcPr>
          <w:p>
            <w:pPr>
              <w:pStyle w:val="TableContents"/>
              <w:bidi w:val="0"/>
              <w:spacing w:before="0" w:after="283"/>
              <w:ind w:left="0" w:right="0" w:hanging="180"/>
              <w:jc w:val="left"/>
              <w:rPr/>
            </w:pPr>
            <w:r>
              <w:rPr/>
              <w:t> </w:t>
            </w:r>
          </w:p>
        </w:tc>
      </w:tr>
      <w:tr>
        <w:trPr/>
        <w:tc>
          <w:tcPr>
            <w:tcW w:w="7181"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131,692,540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134,651,185</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92"/>
        <w:gridCol w:w="60"/>
        <w:gridCol w:w="145"/>
        <w:gridCol w:w="1145"/>
        <w:gridCol w:w="98"/>
        <w:gridCol w:w="61"/>
        <w:gridCol w:w="145"/>
        <w:gridCol w:w="1145"/>
        <w:gridCol w:w="114"/>
      </w:tblGrid>
      <w:tr>
        <w:trPr/>
        <w:tc>
          <w:tcPr>
            <w:tcW w:w="729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39" w:type="dxa"/>
            <w:gridSpan w:val="6"/>
            <w:tcBorders>
              <w:bottom w:val="single" w:sz="12" w:space="0" w:color="000000"/>
            </w:tcBorders>
            <w:tcMar>
              <w:bottom w:w="28" w:type="dxa"/>
            </w:tcMar>
            <w:vAlign w:val="center"/>
          </w:tcPr>
          <w:p>
            <w:pPr>
              <w:pStyle w:val="TableContents"/>
              <w:bidi w:val="0"/>
              <w:spacing w:before="0" w:after="283"/>
              <w:jc w:val="center"/>
              <w:rPr/>
            </w:pPr>
            <w:r>
              <w:rPr/>
              <w:t>For the Three Months Ended</w:t>
              <w:br/>
              <w:t>March 31,</w:t>
            </w:r>
          </w:p>
        </w:tc>
        <w:tc>
          <w:tcPr>
            <w:tcW w:w="114" w:type="dxa"/>
            <w:tcBorders/>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4" w:type="dxa"/>
            <w:tcBorders/>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90"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13,002,910</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13,731,530</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Cost of revenues, exclusive of depreciation and amortization presented separately below</w:t>
            </w:r>
          </w:p>
        </w:tc>
        <w:tc>
          <w:tcPr>
            <w:tcW w:w="60"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pPr>
            <w:r>
              <w:rPr/>
              <w:t>5,569,621</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pPr>
            <w:r>
              <w:rPr/>
              <w:t>5,629,858</w:t>
            </w:r>
          </w:p>
        </w:tc>
        <w:tc>
          <w:tcPr>
            <w:tcW w:w="114"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7,433,289</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8,101,672</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General and administrative expenses</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14,032,542</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11,391,233</w:t>
            </w:r>
          </w:p>
        </w:tc>
        <w:tc>
          <w:tcPr>
            <w:tcW w:w="114"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Depreciation, amortization and noncash lease expense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463,933</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471,540</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Total operating expenses</w:t>
            </w:r>
          </w:p>
        </w:tc>
        <w:tc>
          <w:tcPr>
            <w:tcW w:w="60"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pPr>
            <w:r>
              <w:rPr/>
              <w:t>14,496,475</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pPr>
            <w:r>
              <w:rPr/>
              <w:t>11,862,773</w:t>
            </w:r>
          </w:p>
        </w:tc>
        <w:tc>
          <w:tcPr>
            <w:tcW w:w="114"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(7,063,186</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(3,761,101</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292" w:type="dxa"/>
            <w:tcBorders/>
            <w:vAlign w:val="center"/>
          </w:tcPr>
          <w:p>
            <w:pPr>
              <w:pStyle w:val="TableContents"/>
              <w:bidi w:val="0"/>
              <w:spacing w:before="0" w:after="283"/>
              <w:jc w:val="left"/>
              <w:rPr/>
            </w:pPr>
            <w:r>
              <w:rPr/>
              <w:t>Other income</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665,472</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Loss before provision for income taxes</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(6,397,714</w:t>
            </w:r>
          </w:p>
        </w:tc>
        <w:tc>
          <w:tcPr>
            <w:tcW w:w="98" w:type="dxa"/>
            <w:tcBorders/>
            <w:vAlign w:val="center"/>
          </w:tcPr>
          <w:p>
            <w:pPr>
              <w:pStyle w:val="TableContents"/>
              <w:bidi w:val="0"/>
              <w:spacing w:before="0" w:after="283"/>
              <w:jc w:val="left"/>
              <w:rPr/>
            </w:pPr>
            <w:r>
              <w:rPr/>
              <w:t>)</w:t>
            </w:r>
          </w:p>
        </w:tc>
        <w:tc>
          <w:tcPr>
            <w:tcW w:w="61"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(3,761,098</w:t>
            </w:r>
          </w:p>
        </w:tc>
        <w:tc>
          <w:tcPr>
            <w:tcW w:w="114" w:type="dxa"/>
            <w:tcBorders/>
            <w:vAlign w:val="center"/>
          </w:tcPr>
          <w:p>
            <w:pPr>
              <w:pStyle w:val="TableContents"/>
              <w:bidi w:val="0"/>
              <w:spacing w:before="0" w:after="283"/>
              <w:ind w:left="0" w:right="0" w:hanging="180"/>
              <w:jc w:val="left"/>
              <w:rPr/>
            </w:pPr>
            <w:r>
              <w:rPr/>
              <w:t>)</w:t>
            </w:r>
          </w:p>
        </w:tc>
      </w:tr>
      <w:tr>
        <w:trPr/>
        <w:tc>
          <w:tcPr>
            <w:tcW w:w="7292"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Net loss</w:t>
            </w:r>
          </w:p>
        </w:tc>
        <w:tc>
          <w:tcPr>
            <w:tcW w:w="60"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pPr>
            <w:r>
              <w:rPr/>
              <w:t>$</w:t>
            </w:r>
          </w:p>
        </w:tc>
        <w:tc>
          <w:tcPr>
            <w:tcW w:w="1145" w:type="dxa"/>
            <w:tcBorders>
              <w:bottom w:val="double" w:sz="10" w:space="0" w:color="000000"/>
            </w:tcBorders>
            <w:tcMar>
              <w:bottom w:w="28" w:type="dxa"/>
            </w:tcMar>
            <w:vAlign w:val="center"/>
          </w:tcPr>
          <w:p>
            <w:pPr>
              <w:pStyle w:val="TableContents"/>
              <w:bidi w:val="0"/>
              <w:spacing w:before="0" w:after="283"/>
              <w:jc w:val="right"/>
              <w:rPr/>
            </w:pPr>
            <w:r>
              <w:rPr/>
              <w:t>(6,397,714</w:t>
            </w:r>
          </w:p>
        </w:tc>
        <w:tc>
          <w:tcPr>
            <w:tcW w:w="98" w:type="dxa"/>
            <w:tcBorders/>
            <w:vAlign w:val="center"/>
          </w:tcPr>
          <w:p>
            <w:pPr>
              <w:pStyle w:val="TableContents"/>
              <w:bidi w:val="0"/>
              <w:spacing w:before="0" w:after="283"/>
              <w:jc w:val="left"/>
              <w:rPr/>
            </w:pPr>
            <w:r>
              <w:rPr/>
              <w:t>)</w:t>
            </w:r>
          </w:p>
        </w:tc>
        <w:tc>
          <w:tcPr>
            <w:tcW w:w="61"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pPr>
            <w:r>
              <w:rPr/>
              <w:t>$</w:t>
            </w:r>
          </w:p>
        </w:tc>
        <w:tc>
          <w:tcPr>
            <w:tcW w:w="1145" w:type="dxa"/>
            <w:tcBorders>
              <w:bottom w:val="double" w:sz="10" w:space="0" w:color="000000"/>
            </w:tcBorders>
            <w:tcMar>
              <w:bottom w:w="28" w:type="dxa"/>
            </w:tcMar>
            <w:vAlign w:val="center"/>
          </w:tcPr>
          <w:p>
            <w:pPr>
              <w:pStyle w:val="TableContents"/>
              <w:bidi w:val="0"/>
              <w:spacing w:before="0" w:after="283"/>
              <w:jc w:val="right"/>
              <w:rPr/>
            </w:pPr>
            <w:r>
              <w:rPr/>
              <w:t>(3,761,098</w:t>
            </w:r>
          </w:p>
        </w:tc>
        <w:tc>
          <w:tcPr>
            <w:tcW w:w="114" w:type="dxa"/>
            <w:tcBorders/>
            <w:vAlign w:val="center"/>
          </w:tcPr>
          <w:p>
            <w:pPr>
              <w:pStyle w:val="TableContents"/>
              <w:bidi w:val="0"/>
              <w:spacing w:before="0" w:after="283"/>
              <w:ind w:left="0" w:right="0" w:hanging="180"/>
              <w:jc w:val="left"/>
              <w:rPr/>
            </w:pPr>
            <w:r>
              <w:rPr/>
              <w:t>)</w:t>
            </w:r>
          </w:p>
        </w:tc>
      </w:tr>
      <w:tr>
        <w:trPr/>
        <w:tc>
          <w:tcPr>
            <w:tcW w:w="7292" w:type="dxa"/>
            <w:tcBorders/>
            <w:shd w:fill="CCEEFF" w:val="clear"/>
            <w:vAlign w:val="center"/>
          </w:tcPr>
          <w:p>
            <w:pPr>
              <w:pStyle w:val="TableContents"/>
              <w:bidi w:val="0"/>
              <w:spacing w:before="0" w:after="283"/>
              <w:jc w:val="left"/>
              <w:rPr/>
            </w:pPr>
            <w:r>
              <w:rPr/>
              <w:t>Weighted average number of shares outstanding – basic</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pPr>
            <w:r>
              <w:rPr/>
              <w:t>17,094,676</w:t>
            </w:r>
          </w:p>
        </w:tc>
        <w:tc>
          <w:tcPr>
            <w:tcW w:w="98"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pPr>
            <w:r>
              <w:rPr/>
              <w:t>17,878,068</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Weighted average number of shares outstanding – diluted</w:t>
            </w:r>
          </w:p>
        </w:tc>
        <w:tc>
          <w:tcPr>
            <w:tcW w:w="60"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tcMar>
              <w:bottom w:w="28" w:type="dxa"/>
            </w:tcMar>
            <w:vAlign w:val="center"/>
          </w:tcPr>
          <w:p>
            <w:pPr>
              <w:pStyle w:val="TableContents"/>
              <w:bidi w:val="0"/>
              <w:spacing w:before="0" w:after="283"/>
              <w:jc w:val="right"/>
              <w:rPr/>
            </w:pPr>
            <w:r>
              <w:rPr/>
              <w:t>17,094,676</w:t>
            </w:r>
          </w:p>
        </w:tc>
        <w:tc>
          <w:tcPr>
            <w:tcW w:w="98"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pPr>
            <w:r>
              <w:rPr/>
              <w:t> </w:t>
            </w:r>
          </w:p>
        </w:tc>
        <w:tc>
          <w:tcPr>
            <w:tcW w:w="1145" w:type="dxa"/>
            <w:tcBorders>
              <w:bottom w:val="double" w:sz="10" w:space="0" w:color="000000"/>
            </w:tcBorders>
            <w:tcMar>
              <w:bottom w:w="28" w:type="dxa"/>
            </w:tcMar>
            <w:vAlign w:val="center"/>
          </w:tcPr>
          <w:p>
            <w:pPr>
              <w:pStyle w:val="TableContents"/>
              <w:bidi w:val="0"/>
              <w:spacing w:before="0" w:after="283"/>
              <w:jc w:val="right"/>
              <w:rPr/>
            </w:pPr>
            <w:r>
              <w:rPr/>
              <w:t>17,878,068</w:t>
            </w:r>
          </w:p>
        </w:tc>
        <w:tc>
          <w:tcPr>
            <w:tcW w:w="114"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Loss per share – basic</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pPr>
            <w:r>
              <w:rPr/>
              <w:t>(0.37</w:t>
            </w:r>
          </w:p>
        </w:tc>
        <w:tc>
          <w:tcPr>
            <w:tcW w:w="98"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10" w:space="0" w:color="000000"/>
            </w:tcBorders>
            <w:shd w:fill="CCEEFF" w:val="clear"/>
            <w:tcMar>
              <w:bottom w:w="28" w:type="dxa"/>
            </w:tcMar>
            <w:vAlign w:val="center"/>
          </w:tcPr>
          <w:p>
            <w:pPr>
              <w:pStyle w:val="TableContents"/>
              <w:bidi w:val="0"/>
              <w:spacing w:before="0" w:after="283"/>
              <w:jc w:val="right"/>
              <w:rPr/>
            </w:pPr>
            <w:r>
              <w:rPr/>
              <w:t>(0.21</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7292" w:type="dxa"/>
            <w:tcBorders/>
            <w:vAlign w:val="center"/>
          </w:tcPr>
          <w:p>
            <w:pPr>
              <w:pStyle w:val="TableContents"/>
              <w:bidi w:val="0"/>
              <w:spacing w:before="0" w:after="283"/>
              <w:jc w:val="left"/>
              <w:rPr/>
            </w:pPr>
            <w:r>
              <w:rPr/>
              <w:t>Loss per share – diluted</w:t>
            </w:r>
          </w:p>
        </w:tc>
        <w:tc>
          <w:tcPr>
            <w:tcW w:w="60"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pPr>
            <w:r>
              <w:rPr/>
              <w:t>$</w:t>
            </w:r>
          </w:p>
        </w:tc>
        <w:tc>
          <w:tcPr>
            <w:tcW w:w="1145" w:type="dxa"/>
            <w:tcBorders>
              <w:bottom w:val="double" w:sz="10" w:space="0" w:color="000000"/>
            </w:tcBorders>
            <w:tcMar>
              <w:bottom w:w="28" w:type="dxa"/>
            </w:tcMar>
            <w:vAlign w:val="center"/>
          </w:tcPr>
          <w:p>
            <w:pPr>
              <w:pStyle w:val="TableContents"/>
              <w:bidi w:val="0"/>
              <w:spacing w:before="0" w:after="283"/>
              <w:jc w:val="right"/>
              <w:rPr/>
            </w:pPr>
            <w:r>
              <w:rPr/>
              <w:t>(0.37</w:t>
            </w:r>
          </w:p>
        </w:tc>
        <w:tc>
          <w:tcPr>
            <w:tcW w:w="98" w:type="dxa"/>
            <w:tcBorders/>
            <w:vAlign w:val="center"/>
          </w:tcPr>
          <w:p>
            <w:pPr>
              <w:pStyle w:val="TableContents"/>
              <w:bidi w:val="0"/>
              <w:spacing w:before="0" w:after="283"/>
              <w:jc w:val="left"/>
              <w:rPr/>
            </w:pPr>
            <w:r>
              <w:rPr/>
              <w:t>)</w:t>
            </w:r>
          </w:p>
        </w:tc>
        <w:tc>
          <w:tcPr>
            <w:tcW w:w="61" w:type="dxa"/>
            <w:tcBorders/>
            <w:vAlign w:val="center"/>
          </w:tcPr>
          <w:p>
            <w:pPr>
              <w:pStyle w:val="TableContents"/>
              <w:bidi w:val="0"/>
              <w:spacing w:before="0" w:after="283"/>
              <w:jc w:val="left"/>
              <w:rPr/>
            </w:pPr>
            <w:r>
              <w:rPr/>
              <w:t> </w:t>
            </w:r>
          </w:p>
        </w:tc>
        <w:tc>
          <w:tcPr>
            <w:tcW w:w="145" w:type="dxa"/>
            <w:tcBorders>
              <w:bottom w:val="double" w:sz="10" w:space="0" w:color="000000"/>
            </w:tcBorders>
            <w:tcMar>
              <w:bottom w:w="28" w:type="dxa"/>
            </w:tcMar>
            <w:vAlign w:val="center"/>
          </w:tcPr>
          <w:p>
            <w:pPr>
              <w:pStyle w:val="TableContents"/>
              <w:bidi w:val="0"/>
              <w:spacing w:before="0" w:after="283"/>
              <w:jc w:val="left"/>
              <w:rPr/>
            </w:pPr>
            <w:r>
              <w:rPr/>
              <w:t>$</w:t>
            </w:r>
          </w:p>
        </w:tc>
        <w:tc>
          <w:tcPr>
            <w:tcW w:w="1145" w:type="dxa"/>
            <w:tcBorders>
              <w:bottom w:val="double" w:sz="10" w:space="0" w:color="000000"/>
            </w:tcBorders>
            <w:tcMar>
              <w:bottom w:w="28" w:type="dxa"/>
            </w:tcMar>
            <w:vAlign w:val="center"/>
          </w:tcPr>
          <w:p>
            <w:pPr>
              <w:pStyle w:val="TableContents"/>
              <w:bidi w:val="0"/>
              <w:spacing w:before="0" w:after="283"/>
              <w:jc w:val="right"/>
              <w:rPr/>
            </w:pPr>
            <w:r>
              <w:rPr/>
              <w:t>(0.21</w:t>
            </w:r>
          </w:p>
        </w:tc>
        <w:tc>
          <w:tcPr>
            <w:tcW w:w="114"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2023 AND 2022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65"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140"/>
        <w:gridCol w:w="680"/>
        <w:gridCol w:w="60"/>
        <w:gridCol w:w="60"/>
        <w:gridCol w:w="60"/>
        <w:gridCol w:w="1055"/>
        <w:gridCol w:w="95"/>
        <w:gridCol w:w="60"/>
        <w:gridCol w:w="144"/>
        <w:gridCol w:w="656"/>
        <w:gridCol w:w="95"/>
        <w:gridCol w:w="60"/>
        <w:gridCol w:w="140"/>
        <w:gridCol w:w="1220"/>
        <w:gridCol w:w="95"/>
        <w:gridCol w:w="60"/>
        <w:gridCol w:w="140"/>
        <w:gridCol w:w="1175"/>
        <w:gridCol w:w="95"/>
        <w:gridCol w:w="60"/>
        <w:gridCol w:w="140"/>
        <w:gridCol w:w="1220"/>
        <w:gridCol w:w="75"/>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70" w:type="dxa"/>
            <w:gridSpan w:val="6"/>
            <w:tcBorders>
              <w:bottom w:val="single" w:sz="12" w:space="0" w:color="000000"/>
            </w:tcBorders>
            <w:tcMar>
              <w:bottom w:w="28" w:type="dxa"/>
            </w:tcMar>
            <w:vAlign w:val="center"/>
          </w:tcPr>
          <w:p>
            <w:pPr>
              <w:pStyle w:val="TableContents"/>
              <w:bidi w:val="0"/>
              <w:spacing w:before="0" w:after="283"/>
              <w:jc w:val="center"/>
              <w:rPr/>
            </w:pPr>
            <w:r>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 xml:space="preserve">Additional </w:t>
              <w:br/>
              <w:t>Paid 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ind w:left="0" w:right="0" w:hanging="180"/>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Balance January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18,288,571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18,289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(1,214,398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656" w:type="dxa"/>
            <w:tcBorders/>
            <w:shd w:fill="CCEEFF" w:val="clear"/>
            <w:vAlign w:val="center"/>
          </w:tcPr>
          <w:p>
            <w:pPr>
              <w:pStyle w:val="TableContents"/>
              <w:bidi w:val="0"/>
              <w:spacing w:before="0" w:after="283"/>
              <w:jc w:val="right"/>
              <w:rPr/>
            </w:pPr>
            <w:r>
              <w:rPr/>
              <w:t>(1,214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172,785,800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(46,692,098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126,110,777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1,466,694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1,466,694</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2,913,809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2,913,809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Issuance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For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40,596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40,606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vAlign w:val="center"/>
          </w:tcPr>
          <w:p>
            <w:pPr>
              <w:pStyle w:val="TableContents"/>
              <w:bidi w:val="0"/>
              <w:spacing w:before="0" w:after="283"/>
              <w:jc w:val="left"/>
              <w:rPr/>
            </w:pPr>
            <w:r>
              <w:rPr/>
              <w:t>For restricted stock units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33,272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(170,433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(170,400</w:t>
            </w:r>
          </w:p>
        </w:tc>
        <w:tc>
          <w:tcPr>
            <w:tcW w:w="75" w:type="dxa"/>
            <w:tcBorders/>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(6,397,714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(6,397,714</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Balance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18,331,511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18,332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(1,214,398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56" w:type="dxa"/>
            <w:tcBorders>
              <w:bottom w:val="double" w:sz="10" w:space="0" w:color="000000"/>
            </w:tcBorders>
            <w:shd w:fill="CCEEFF" w:val="clear"/>
            <w:tcMar>
              <w:bottom w:w="28" w:type="dxa"/>
            </w:tcMar>
            <w:vAlign w:val="center"/>
          </w:tcPr>
          <w:p>
            <w:pPr>
              <w:pStyle w:val="TableContents"/>
              <w:bidi w:val="0"/>
              <w:spacing w:before="0" w:after="283"/>
              <w:jc w:val="right"/>
              <w:rPr/>
            </w:pPr>
            <w:r>
              <w:rPr/>
              <w:t>(1,214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177,036,466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(53,089,812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123,963,772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0"/>
        <w:gridCol w:w="60"/>
        <w:gridCol w:w="60"/>
        <w:gridCol w:w="1100"/>
        <w:gridCol w:w="60"/>
        <w:gridCol w:w="60"/>
        <w:gridCol w:w="140"/>
        <w:gridCol w:w="680"/>
        <w:gridCol w:w="60"/>
        <w:gridCol w:w="60"/>
        <w:gridCol w:w="121"/>
        <w:gridCol w:w="529"/>
        <w:gridCol w:w="69"/>
        <w:gridCol w:w="69"/>
        <w:gridCol w:w="278"/>
        <w:gridCol w:w="522"/>
        <w:gridCol w:w="60"/>
        <w:gridCol w:w="60"/>
        <w:gridCol w:w="140"/>
        <w:gridCol w:w="1220"/>
        <w:gridCol w:w="95"/>
        <w:gridCol w:w="60"/>
        <w:gridCol w:w="140"/>
        <w:gridCol w:w="1175"/>
        <w:gridCol w:w="95"/>
        <w:gridCol w:w="60"/>
        <w:gridCol w:w="140"/>
        <w:gridCol w:w="1220"/>
        <w:gridCol w:w="112"/>
      </w:tblGrid>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00" w:type="dxa"/>
            <w:gridSpan w:val="6"/>
            <w:tcBorders>
              <w:bottom w:val="single" w:sz="12" w:space="0" w:color="000000"/>
            </w:tcBorders>
            <w:tcMar>
              <w:bottom w:w="28" w:type="dxa"/>
            </w:tcMar>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88" w:type="dxa"/>
            <w:gridSpan w:val="6"/>
            <w:tcBorders>
              <w:bottom w:val="single" w:sz="12" w:space="0" w:color="000000"/>
            </w:tcBorders>
            <w:tcMar>
              <w:bottom w:w="28" w:type="dxa"/>
            </w:tcMar>
            <w:vAlign w:val="center"/>
          </w:tcPr>
          <w:p>
            <w:pPr>
              <w:pStyle w:val="TableContents"/>
              <w:bidi w:val="0"/>
              <w:spacing w:before="0" w:after="283"/>
              <w:jc w:val="center"/>
              <w:rPr/>
            </w:pPr>
            <w:r>
              <w:rPr/>
              <w:t>Treasury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center"/>
              <w:rPr/>
            </w:pPr>
            <w:r>
              <w:rPr/>
              <w:t xml:space="preserve">Additional </w:t>
              <w:br/>
              <w:t xml:space="preserve">Paid in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center"/>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pPr>
            <w:r>
              <w:rPr/>
              <w:t>Shares</w:t>
            </w:r>
          </w:p>
        </w:tc>
        <w:tc>
          <w:tcPr>
            <w:tcW w:w="69" w:type="dxa"/>
            <w:tcBorders/>
            <w:vAlign w:val="center"/>
          </w:tcPr>
          <w:p>
            <w:pPr>
              <w:pStyle w:val="TableContents"/>
              <w:bidi w:val="0"/>
              <w:spacing w:before="0" w:after="283"/>
              <w:jc w:val="center"/>
              <w:rPr/>
            </w:pPr>
            <w:r>
              <w:rPr/>
              <w:t> </w:t>
            </w:r>
          </w:p>
        </w:tc>
        <w:tc>
          <w:tcPr>
            <w:tcW w:w="69" w:type="dxa"/>
            <w:tcBorders/>
            <w:vAlign w:val="center"/>
          </w:tcPr>
          <w:p>
            <w:pPr>
              <w:pStyle w:val="TableContents"/>
              <w:bidi w:val="0"/>
              <w:spacing w:before="0" w:after="283"/>
              <w:jc w:val="center"/>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pPr>
            <w:r>
              <w:rPr/>
              <w:t>Total</w:t>
            </w:r>
          </w:p>
        </w:tc>
        <w:tc>
          <w:tcPr>
            <w:tcW w:w="112" w:type="dxa"/>
            <w:tcBorders/>
            <w:vAlign w:val="center"/>
          </w:tcPr>
          <w:p>
            <w:pPr>
              <w:pStyle w:val="TableContents"/>
              <w:bidi w:val="0"/>
              <w:spacing w:before="0" w:after="283"/>
              <w:jc w:val="center"/>
              <w:rPr/>
            </w:pPr>
            <w:r>
              <w:rPr/>
              <w:t> </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Balance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17,860,975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52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166,615,514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(35,253,658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131,379,717</w:t>
            </w:r>
          </w:p>
        </w:tc>
        <w:tc>
          <w:tcPr>
            <w:tcW w:w="112"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905,744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905,744</w:t>
            </w:r>
          </w:p>
        </w:tc>
        <w:tc>
          <w:tcPr>
            <w:tcW w:w="112"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2,268,354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2,268,354</w:t>
            </w:r>
          </w:p>
        </w:tc>
        <w:tc>
          <w:tcPr>
            <w:tcW w:w="112"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Issuance of 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For options 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258,100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258,128</w:t>
            </w:r>
          </w:p>
        </w:tc>
        <w:tc>
          <w:tcPr>
            <w:tcW w:w="112"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For restricted stock units vested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right"/>
              <w:rPr/>
            </w:pPr>
            <w:r>
              <w:rPr/>
              <w:t>—</w:t>
            </w:r>
          </w:p>
        </w:tc>
        <w:tc>
          <w:tcPr>
            <w:tcW w:w="112"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(3,761,098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(3,761,098</w:t>
            </w:r>
          </w:p>
        </w:tc>
        <w:tc>
          <w:tcPr>
            <w:tcW w:w="112" w:type="dxa"/>
            <w:tcBorders/>
            <w:shd w:fill="CCEEFF" w:val="clear"/>
            <w:vAlign w:val="center"/>
          </w:tcPr>
          <w:p>
            <w:pPr>
              <w:pStyle w:val="TableContents"/>
              <w:bidi w:val="0"/>
              <w:spacing w:before="0" w:after="283"/>
              <w:jc w:val="left"/>
              <w:rPr/>
            </w:pPr>
            <w:r>
              <w:rPr/>
              <w:t>)</w:t>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 </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Balance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17,902,608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17,903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27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170,047,698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(39,014,756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131,050,845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7"/>
        <w:gridCol w:w="60"/>
        <w:gridCol w:w="141"/>
        <w:gridCol w:w="1194"/>
        <w:gridCol w:w="95"/>
        <w:gridCol w:w="60"/>
        <w:gridCol w:w="141"/>
        <w:gridCol w:w="1118"/>
        <w:gridCol w:w="109"/>
      </w:tblGrid>
      <w:tr>
        <w:trPr/>
        <w:tc>
          <w:tcPr>
            <w:tcW w:w="728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49" w:type="dxa"/>
            <w:gridSpan w:val="6"/>
            <w:tcBorders>
              <w:bottom w:val="single" w:sz="12" w:space="0" w:color="000000"/>
            </w:tcBorders>
            <w:tcMar>
              <w:bottom w:w="28" w:type="dxa"/>
            </w:tcMar>
            <w:vAlign w:val="center"/>
          </w:tcPr>
          <w:p>
            <w:pPr>
              <w:pStyle w:val="TableContents"/>
              <w:bidi w:val="0"/>
              <w:spacing w:before="0" w:after="283"/>
              <w:jc w:val="center"/>
              <w:rPr/>
            </w:pPr>
            <w:r>
              <w:rPr/>
              <w:t>For the Three Months Ended</w:t>
              <w:br/>
              <w:t>March 31,</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3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9" w:type="dxa"/>
            <w:gridSpan w:val="2"/>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(6,397,714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(3,761,098</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287" w:type="dxa"/>
            <w:tcBorders/>
            <w:vAlign w:val="center"/>
          </w:tcPr>
          <w:p>
            <w:pPr>
              <w:pStyle w:val="TableContents"/>
              <w:bidi w:val="0"/>
              <w:spacing w:before="0" w:after="283"/>
              <w:jc w:val="left"/>
              <w:rPr/>
            </w:pPr>
            <w:r>
              <w:rPr/>
              <w:t>Adjustments to reconcile net loss to net cash (used in) provided by operating activities: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463,933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471,540</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pPr>
            <w:r>
              <w:rPr/>
              <w:t>Stock-based compensation</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4,380,503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3,174,098</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pPr>
            <w:r>
              <w:rPr/>
              <w:t>Increase in bad debt reserve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128,178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21,000</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pPr>
            <w:r>
              <w:rPr/>
              <w:t>Changes in:</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3,862,436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5,643,761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pPr>
            <w:r>
              <w:rPr/>
              <w:t>Prepaid expenses and other assets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(1,734,024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1,021,166</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(261,125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(6,079</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287" w:type="dxa"/>
            <w:tcBorders/>
            <w:vAlign w:val="center"/>
          </w:tcPr>
          <w:p>
            <w:pPr>
              <w:pStyle w:val="TableContents"/>
              <w:bidi w:val="0"/>
              <w:spacing w:before="0" w:after="283"/>
              <w:jc w:val="left"/>
              <w:rPr/>
            </w:pPr>
            <w:r>
              <w:rPr/>
              <w:t>Revenue share payable</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(622,956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(1,202,497</w:t>
            </w:r>
          </w:p>
        </w:tc>
        <w:tc>
          <w:tcPr>
            <w:tcW w:w="109" w:type="dxa"/>
            <w:tcBorders/>
            <w:vAlign w:val="center"/>
          </w:tcPr>
          <w:p>
            <w:pPr>
              <w:pStyle w:val="TableContents"/>
              <w:bidi w:val="0"/>
              <w:spacing w:before="0" w:after="283"/>
              <w:ind w:left="0" w:right="0" w:hanging="180"/>
              <w:jc w:val="left"/>
              <w:rPr/>
            </w:pPr>
            <w:r>
              <w:rPr/>
              <w:t>)</w:t>
            </w:r>
          </w:p>
        </w:tc>
      </w:tr>
      <w:tr>
        <w:trPr/>
        <w:tc>
          <w:tcPr>
            <w:tcW w:w="7287" w:type="dxa"/>
            <w:tcBorders/>
            <w:shd w:fill="CCEEFF" w:val="clear"/>
            <w:vAlign w:val="center"/>
          </w:tcPr>
          <w:p>
            <w:pPr>
              <w:pStyle w:val="TableContents"/>
              <w:bidi w:val="0"/>
              <w:spacing w:before="0" w:after="283"/>
              <w:jc w:val="left"/>
              <w:rPr/>
            </w:pPr>
            <w:r>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(476,392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(1,184,784</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287" w:type="dxa"/>
            <w:tcBorders/>
            <w:vAlign w:val="center"/>
          </w:tcPr>
          <w:p>
            <w:pPr>
              <w:pStyle w:val="TableContents"/>
              <w:bidi w:val="0"/>
              <w:spacing w:before="0" w:after="283"/>
              <w:jc w:val="left"/>
              <w:rPr/>
            </w:pPr>
            <w:r>
              <w:rPr/>
              <w:t>Deferred revenue</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tcMar>
              <w:bottom w:w="28" w:type="dxa"/>
            </w:tcMar>
            <w:vAlign w:val="center"/>
          </w:tcPr>
          <w:p>
            <w:pPr>
              <w:pStyle w:val="TableContents"/>
              <w:bidi w:val="0"/>
              <w:spacing w:before="0" w:after="283"/>
              <w:jc w:val="right"/>
              <w:rPr/>
            </w:pPr>
            <w:r>
              <w:rPr/>
              <w:t>570,831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tcMar>
              <w:bottom w:w="28" w:type="dxa"/>
            </w:tcMar>
            <w:vAlign w:val="center"/>
          </w:tcPr>
          <w:p>
            <w:pPr>
              <w:pStyle w:val="TableContents"/>
              <w:bidi w:val="0"/>
              <w:spacing w:before="0" w:after="283"/>
              <w:jc w:val="right"/>
              <w:rPr/>
            </w:pPr>
            <w:r>
              <w:rPr/>
              <w:t>(96,863</w:t>
            </w:r>
          </w:p>
        </w:tc>
        <w:tc>
          <w:tcPr>
            <w:tcW w:w="109" w:type="dxa"/>
            <w:tcBorders/>
            <w:vAlign w:val="center"/>
          </w:tcPr>
          <w:p>
            <w:pPr>
              <w:pStyle w:val="TableContents"/>
              <w:bidi w:val="0"/>
              <w:spacing w:before="0" w:after="283"/>
              <w:ind w:left="0" w:right="0" w:hanging="180"/>
              <w:jc w:val="left"/>
              <w:rPr/>
            </w:pPr>
            <w:r>
              <w:rPr/>
              <w:t>)</w:t>
            </w:r>
          </w:p>
        </w:tc>
      </w:tr>
      <w:tr>
        <w:trPr/>
        <w:tc>
          <w:tcPr>
            <w:tcW w:w="7287" w:type="dxa"/>
            <w:tcBorders/>
            <w:shd w:fill="CCEEFF" w:val="clear"/>
            <w:vAlign w:val="center"/>
          </w:tcPr>
          <w:p>
            <w:pPr>
              <w:pStyle w:val="TableContents"/>
              <w:bidi w:val="0"/>
              <w:spacing w:before="0" w:after="283"/>
              <w:jc w:val="left"/>
              <w:rPr>
                <w:b/>
              </w:rPr>
            </w:pPr>
            <w:r>
              <w:rPr>
                <w:b/>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(86,330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pPr>
            <w:r>
              <w:rPr/>
              <w:t>4,080,244</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b/>
              </w:rPr>
            </w:pPr>
            <w:r>
              <w:rPr>
                <w:b/>
              </w:rPr>
              <w:t>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pPr>
            <w:r>
              <w:rPr/>
              <w:t>Purchase of property and equipment</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(28,580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(14,480</w:t>
            </w:r>
          </w:p>
        </w:tc>
        <w:tc>
          <w:tcPr>
            <w:tcW w:w="109" w:type="dxa"/>
            <w:tcBorders/>
            <w:vAlign w:val="center"/>
          </w:tcPr>
          <w:p>
            <w:pPr>
              <w:pStyle w:val="TableContents"/>
              <w:bidi w:val="0"/>
              <w:spacing w:before="0" w:after="283"/>
              <w:ind w:left="0" w:right="0" w:hanging="180"/>
              <w:jc w:val="left"/>
              <w:rPr/>
            </w:pPr>
            <w:r>
              <w:rPr/>
              <w:t>)</w:t>
            </w:r>
          </w:p>
        </w:tc>
      </w:tr>
      <w:tr>
        <w:trPr/>
        <w:tc>
          <w:tcPr>
            <w:tcW w:w="7287" w:type="dxa"/>
            <w:tcBorders/>
            <w:shd w:fill="CCEEFF" w:val="clear"/>
            <w:vAlign w:val="center"/>
          </w:tcPr>
          <w:p>
            <w:pPr>
              <w:pStyle w:val="TableContents"/>
              <w:bidi w:val="0"/>
              <w:spacing w:before="0" w:after="283"/>
              <w:jc w:val="left"/>
              <w:rPr/>
            </w:pPr>
            <w:r>
              <w:rPr/>
              <w:t>Purchases of held-to-maturity investments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(56,926,611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0"/>
              <w:jc w:val="right"/>
              <w:rPr/>
            </w:pPr>
            <w:r>
              <w:rPr/>
              <w:t>—</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pPr>
            <w:r>
              <w:rPr/>
              <w:t>Redemptions of held-to-maturity investments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55,600,198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0"/>
              <w:jc w:val="right"/>
              <w:rPr/>
            </w:pPr>
            <w:r>
              <w:rPr/>
              <w:t>—</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pPr>
            <w:r>
              <w:rPr/>
              <w:t>Acquisition of intangible assets, including intellectual property rights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(51,271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287" w:type="dxa"/>
            <w:tcBorders/>
            <w:vAlign w:val="center"/>
          </w:tcPr>
          <w:p>
            <w:pPr>
              <w:pStyle w:val="TableContents"/>
              <w:bidi w:val="0"/>
              <w:spacing w:before="0" w:after="283"/>
              <w:jc w:val="left"/>
              <w:rPr/>
            </w:pPr>
            <w:r>
              <w:rPr/>
              <w:t>Capitalized software development costs</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tcMar>
              <w:bottom w:w="28" w:type="dxa"/>
            </w:tcMar>
            <w:vAlign w:val="center"/>
          </w:tcPr>
          <w:p>
            <w:pPr>
              <w:pStyle w:val="TableContents"/>
              <w:bidi w:val="0"/>
              <w:spacing w:before="0" w:after="283"/>
              <w:jc w:val="right"/>
              <w:rPr/>
            </w:pPr>
            <w:r>
              <w:rPr/>
              <w:t>(193,901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tcMar>
              <w:bottom w:w="28" w:type="dxa"/>
            </w:tcMar>
            <w:vAlign w:val="center"/>
          </w:tcPr>
          <w:p>
            <w:pPr>
              <w:pStyle w:val="TableContents"/>
              <w:bidi w:val="0"/>
              <w:spacing w:before="0" w:after="0"/>
              <w:jc w:val="right"/>
              <w:rPr/>
            </w:pPr>
            <w:r>
              <w:rPr/>
              <w:t>—</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(1,548,894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(65,751</w:t>
            </w:r>
          </w:p>
        </w:tc>
        <w:tc>
          <w:tcPr>
            <w:tcW w:w="109" w:type="dxa"/>
            <w:tcBorders/>
            <w:shd w:fill="CCEEFF" w:val="clear"/>
            <w:vAlign w:val="center"/>
          </w:tcPr>
          <w:p>
            <w:pPr>
              <w:pStyle w:val="TableContents"/>
              <w:bidi w:val="0"/>
              <w:spacing w:before="0" w:after="283"/>
              <w:ind w:left="0" w:right="0" w:hanging="180"/>
              <w:jc w:val="left"/>
              <w:rPr/>
            </w:pPr>
            <w:r>
              <w:rPr/>
              <w:t>)</w:t>
            </w:r>
          </w:p>
        </w:tc>
      </w:tr>
      <w:tr>
        <w:trPr/>
        <w:tc>
          <w:tcPr>
            <w:tcW w:w="72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b/>
              </w:rPr>
            </w:pPr>
            <w:r>
              <w:rPr>
                <w:b/>
              </w:rPr>
              <w:t>CASH FLOWS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pPr>
            <w:r>
              <w:rPr/>
              <w:t>Cash paid for employee withholding taxes related to the vesting of restricted stock units</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(170,400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0"/>
              <w:jc w:val="right"/>
              <w:rPr/>
            </w:pPr>
            <w:r>
              <w:rPr/>
              <w:t>—</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center"/>
          </w:tcPr>
          <w:p>
            <w:pPr>
              <w:pStyle w:val="TableContents"/>
              <w:bidi w:val="0"/>
              <w:spacing w:before="0" w:after="283"/>
              <w:jc w:val="right"/>
              <w:rPr/>
            </w:pPr>
            <w:r>
              <w:rPr/>
              <w:t>40,606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shd w:fill="CCEEFF" w:val="clear"/>
            <w:tcMar>
              <w:bottom w:w="28" w:type="dxa"/>
            </w:tcMar>
            <w:vAlign w:val="center"/>
          </w:tcPr>
          <w:p>
            <w:pPr>
              <w:pStyle w:val="TableContents"/>
              <w:bidi w:val="0"/>
              <w:spacing w:before="0" w:after="283"/>
              <w:jc w:val="right"/>
              <w:rPr/>
            </w:pPr>
            <w:r>
              <w:rPr/>
              <w:t>258,128</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b/>
              </w:rPr>
            </w:pPr>
            <w:r>
              <w:rPr>
                <w:b/>
              </w:rPr>
              <w:t>NET CASH (USED IN) PROVIDED BY FINANCING ACTIVITIES</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tcMar>
              <w:bottom w:w="28" w:type="dxa"/>
            </w:tcMar>
            <w:vAlign w:val="center"/>
          </w:tcPr>
          <w:p>
            <w:pPr>
              <w:pStyle w:val="TableContents"/>
              <w:bidi w:val="0"/>
              <w:spacing w:before="0" w:after="283"/>
              <w:jc w:val="right"/>
              <w:rPr/>
            </w:pPr>
            <w:r>
              <w:rPr/>
              <w:t>(129,794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tcMar>
              <w:bottom w:w="28" w:type="dxa"/>
            </w:tcMar>
            <w:vAlign w:val="center"/>
          </w:tcPr>
          <w:p>
            <w:pPr>
              <w:pStyle w:val="TableContents"/>
              <w:bidi w:val="0"/>
              <w:spacing w:before="0" w:after="283"/>
              <w:jc w:val="right"/>
              <w:rPr/>
            </w:pPr>
            <w:r>
              <w:rPr/>
              <w:t>258,128</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b/>
              </w:rPr>
            </w:pPr>
            <w:r>
              <w:rPr>
                <w:b/>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(1,765,018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4,272,621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b/>
              </w:rPr>
            </w:pPr>
            <w:r>
              <w:rPr>
                <w:b/>
              </w:rPr>
              <w:t>CASH AND CASH EQUIVALENTS - BEGINNING OF PERIOD</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4" w:type="dxa"/>
            <w:tcBorders>
              <w:bottom w:val="single" w:sz="12" w:space="0" w:color="000000"/>
            </w:tcBorders>
            <w:tcMar>
              <w:bottom w:w="28" w:type="dxa"/>
            </w:tcMar>
            <w:vAlign w:val="center"/>
          </w:tcPr>
          <w:p>
            <w:pPr>
              <w:pStyle w:val="TableContents"/>
              <w:bidi w:val="0"/>
              <w:spacing w:before="0" w:after="283"/>
              <w:jc w:val="right"/>
              <w:rPr/>
            </w:pPr>
            <w:r>
              <w:rPr/>
              <w:t>18,208,685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8" w:type="dxa"/>
            <w:tcBorders>
              <w:bottom w:val="single" w:sz="12" w:space="0" w:color="000000"/>
            </w:tcBorders>
            <w:tcMar>
              <w:bottom w:w="28" w:type="dxa"/>
            </w:tcMar>
            <w:vAlign w:val="center"/>
          </w:tcPr>
          <w:p>
            <w:pPr>
              <w:pStyle w:val="TableContents"/>
              <w:bidi w:val="0"/>
              <w:spacing w:before="0" w:after="283"/>
              <w:jc w:val="right"/>
              <w:rPr/>
            </w:pPr>
            <w:r>
              <w:rPr/>
              <w:t>84,681,770</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b/>
              </w:rPr>
            </w:pPr>
            <w:r>
              <w:rPr>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16,443,667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8" w:type="dxa"/>
            <w:tcBorders>
              <w:bottom w:val="double" w:sz="10" w:space="0" w:color="000000"/>
            </w:tcBorders>
            <w:shd w:fill="CCEEFF" w:val="clear"/>
            <w:tcMar>
              <w:bottom w:w="28" w:type="dxa"/>
            </w:tcMar>
            <w:vAlign w:val="center"/>
          </w:tcPr>
          <w:p>
            <w:pPr>
              <w:pStyle w:val="TableContents"/>
              <w:bidi w:val="0"/>
              <w:spacing w:before="0" w:after="283"/>
              <w:jc w:val="right"/>
              <w:rPr/>
            </w:pPr>
            <w:r>
              <w:rPr/>
              <w:t>88,954,391</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ind w:left="0" w:right="0" w:hanging="180"/>
              <w:jc w:val="left"/>
              <w:rPr/>
            </w:pPr>
            <w:r>
              <w:rPr/>
              <w:t> </w:t>
            </w:r>
          </w:p>
        </w:tc>
      </w:tr>
      <w:tr>
        <w:trPr/>
        <w:tc>
          <w:tcPr>
            <w:tcW w:w="7287" w:type="dxa"/>
            <w:tcBorders/>
            <w:vAlign w:val="center"/>
          </w:tcPr>
          <w:p>
            <w:pPr>
              <w:pStyle w:val="TableContents"/>
              <w:bidi w:val="0"/>
              <w:spacing w:before="0" w:after="283"/>
              <w:jc w:val="left"/>
              <w:rPr/>
            </w:pPr>
            <w:r>
              <w:rPr/>
              <w:t>Cash paid for interest</w:t>
            </w:r>
          </w:p>
        </w:tc>
        <w:tc>
          <w:tcPr>
            <w:tcW w:w="60" w:type="dxa"/>
            <w:tcBorders/>
            <w:vAlign w:val="center"/>
          </w:tcPr>
          <w:p>
            <w:pPr>
              <w:pStyle w:val="TableContents"/>
              <w:bidi w:val="0"/>
              <w:spacing w:before="0" w:after="283"/>
              <w:jc w:val="left"/>
              <w:rPr/>
            </w:pPr>
            <w:r>
              <w:rPr/>
              <w:t> </w:t>
            </w:r>
          </w:p>
        </w:tc>
        <w:tc>
          <w:tcPr>
            <w:tcW w:w="141" w:type="dxa"/>
            <w:tcBorders>
              <w:bottom w:val="double" w:sz="10" w:space="0" w:color="000000"/>
            </w:tcBorders>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 w:type="dxa"/>
            <w:tcBorders>
              <w:bottom w:val="double" w:sz="10" w:space="0" w:color="000000"/>
            </w:tcBorders>
            <w:tcMar>
              <w:bottom w:w="28" w:type="dxa"/>
            </w:tcMar>
            <w:vAlign w:val="center"/>
          </w:tcPr>
          <w:p>
            <w:pPr>
              <w:pStyle w:val="TableContents"/>
              <w:bidi w:val="0"/>
              <w:spacing w:before="0" w:after="283"/>
              <w:jc w:val="left"/>
              <w:rPr/>
            </w:pPr>
            <w:r>
              <w:rPr/>
              <w:t>$</w:t>
            </w:r>
          </w:p>
        </w:tc>
        <w:tc>
          <w:tcPr>
            <w:tcW w:w="1118" w:type="dxa"/>
            <w:tcBorders>
              <w:bottom w:val="double" w:sz="10" w:space="0" w:color="000000"/>
            </w:tcBorders>
            <w:tcMar>
              <w:bottom w:w="28" w:type="dxa"/>
            </w:tcMar>
            <w:vAlign w:val="center"/>
          </w:tcPr>
          <w:p>
            <w:pPr>
              <w:pStyle w:val="TableContents"/>
              <w:bidi w:val="0"/>
              <w:spacing w:before="0" w:after="0"/>
              <w:jc w:val="right"/>
              <w:rPr/>
            </w:pPr>
            <w:r>
              <w:rPr/>
              <w:t>—</w:t>
            </w:r>
          </w:p>
        </w:tc>
        <w:tc>
          <w:tcPr>
            <w:tcW w:w="109" w:type="dxa"/>
            <w:tcBorders/>
            <w:vAlign w:val="center"/>
          </w:tcPr>
          <w:p>
            <w:pPr>
              <w:pStyle w:val="TableContents"/>
              <w:bidi w:val="0"/>
              <w:spacing w:before="0" w:after="283"/>
              <w:ind w:left="0" w:right="0" w:hanging="180"/>
              <w:jc w:val="left"/>
              <w:rPr/>
            </w:pPr>
            <w:r>
              <w:rPr/>
              <w:t> </w:t>
            </w:r>
          </w:p>
        </w:tc>
      </w:tr>
      <w:tr>
        <w:trPr/>
        <w:tc>
          <w:tcPr>
            <w:tcW w:w="7287"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4"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0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NOTES TO THE CONDENSED CONSOLIDATED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 NATURE OF BUSINESS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OptimizeRx Corporation and its wholly owned subsidiaries (collectively, the “Company”, “we”, “our”, or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for the three months ended March 31, 2023 and 2022 have been prepared by us without audit pursuant to the rules and regulations of the U.S. Securities and Exchange Commission (“SEC”). In the opinion of management, all adjustments necessary to present fairly our financial position at March 31, 2023, and our results of operations, changes in stockholders’ equity, and cash flows for the three months ended March 31, 2023 and 2022, have been made. Those adjustments consist of normal and recurring adjustments. The condensed consolidated balance sheet as of December 31, 2022, has been derived from the audited consolidated condensed balance sheet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note disclosures, including a detailed discussion about the Company’s significant accounting policies, normally included in our annual consolidated financial statements prepared in accordance with generally accepted accounting principles have been condensed or omitted. These condensed consolidated financial statements should be read in conjunction with a reading of the consolidated financial statements and notes thereto included in our Annual Report on Form 10-K for the fiscal year ended December 31, 2022, as filed with the SEC on March 10,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three months ended March 31, 2023, are not necessarily indicative of the results to be expected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 – NEW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Topic 2021-08 </w:t>
      </w:r>
      <w:r>
        <w:rPr>
          <w:rFonts w:ascii="Times New Roman;Times;Serif" w:hAnsi="Times New Roman;Times;Serif"/>
          <w:b w:val="false"/>
          <w:i/>
          <w:caps w:val="false"/>
          <w:smallCaps w:val="false"/>
          <w:sz w:val="20"/>
        </w:rPr>
        <w:t>Business Combinations (Topic 805), Accounting for Contract Assets and Contract Liabilities from Contracts with Customers</w:t>
      </w:r>
      <w:r>
        <w:rPr>
          <w:rFonts w:ascii="Times New Roman;Times;Serif" w:hAnsi="Times New Roman;Times;Serif"/>
          <w:b w:val="false"/>
          <w:i w:val="false"/>
          <w:caps w:val="false"/>
          <w:smallCaps w:val="false"/>
          <w:sz w:val="20"/>
        </w:rPr>
        <w:t>, requires contract assets and contract liabilities acquired in a business combination to be recognized and measured by the acquirer on the acquisition date in accordance with ASC 606</w:t>
      </w:r>
      <w:r>
        <w:rPr>
          <w:rFonts w:ascii="Times New Roman;Times;Serif" w:hAnsi="Times New Roman;Times;Serif"/>
          <w:b w:val="false"/>
          <w:i/>
          <w:caps w:val="false"/>
          <w:smallCaps w:val="false"/>
          <w:sz w:val="20"/>
        </w:rPr>
        <w:t>, Revenue from Contracts with Customers</w:t>
      </w:r>
      <w:r>
        <w:rPr>
          <w:rFonts w:ascii="Times New Roman;Times;Serif" w:hAnsi="Times New Roman;Times;Serif"/>
          <w:b w:val="false"/>
          <w:i w:val="false"/>
          <w:caps w:val="false"/>
          <w:smallCaps w:val="false"/>
          <w:sz w:val="20"/>
        </w:rPr>
        <w:t>, as if it had originated the contracts. The standard was effective for the Company’s fiscal year beginning January 1, 2023. The adoption of this standard did not have a material effect on our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3 – CASH, CASH EQUIVALENTS AND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include items almost as liquid as cash with maturity periods of three months or less when purchased, and short-term investments include items with maturity dates between three months and one year when purchased. We account for marketable securities in accordance with ASC 320, “Investments - Debt Securities”, which require that certain debt securities be classified into one of three categories: held-to-maturity, available-for-sale, or trading securities, and depending upon the classification, value the security at amortized cost or fair market value. At March 31, 2023 and December 31, 2022, we have recorded $57.3 million and $55.9 million, respectively, of held-to-maturity United States’ Treasury Bills at amortized cost basis. Our held-to-maturity United States’ Treasury Bills have maturity dates between April 2023 and June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we record revenue when earned, rather than when billed. From time to time, we may record revenue based on our revenue recognition policies in advance of being able to invoice the customer, or we may invoice the customer prior to being able to recognize the revenue. Included in accounts receivable are unbilled amounts of $2,992,909 and $3,582,735 at March 31, 2023, and December 31, 2022, respectively. Amounts billed in advance of revenue recognition are presented as deferred revenue on the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4 – REVENUES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several signed contracts with customers for the distribution of messaging, or other services, which include payment in advance. The payments are not recorded as revenue until the revenue is earned under its revenue recognition policy. Deferred revenue was $735,140 and $164,309 as of March 31, 2023 and December 31, 2022, respectively. The contracts are all short term in nature and all revenue is expected to be recognized within 12 months, or less. Following is a summary of activity for the deferred revenue account for the quarter ended March 31.</w:t>
      </w:r>
    </w:p>
    <w:p>
      <w:pPr>
        <w:pStyle w:val="TextBody"/>
        <w:bidi w:val="0"/>
        <w:spacing w:before="0" w:after="0"/>
        <w:ind w:left="0" w:right="0" w:hanging="0"/>
        <w:jc w:val="both"/>
        <w:rPr>
          <w:caps w:val="false"/>
          <w:smallCaps w:val="false"/>
        </w:rPr>
      </w:pPr>
      <w:r>
        <w:rPr>
          <w:caps w:val="false"/>
          <w:smallCaps w:val="false"/>
        </w:rPr>
        <w:t> </w:t>
      </w:r>
    </w:p>
    <w:tbl>
      <w:tblPr>
        <w:tblW w:w="3740" w:type="dxa"/>
        <w:jc w:val="left"/>
        <w:tblInd w:w="0" w:type="dxa"/>
        <w:tblLayout w:type="fixed"/>
        <w:tblCellMar>
          <w:top w:w="0" w:type="dxa"/>
          <w:left w:w="0" w:type="dxa"/>
          <w:bottom w:w="0" w:type="dxa"/>
          <w:right w:w="0" w:type="dxa"/>
        </w:tblCellMar>
      </w:tblPr>
      <w:tblGrid>
        <w:gridCol w:w="2375"/>
        <w:gridCol w:w="60"/>
        <w:gridCol w:w="140"/>
        <w:gridCol w:w="1055"/>
        <w:gridCol w:w="110"/>
      </w:tblGrid>
      <w:tr>
        <w:trPr/>
        <w:tc>
          <w:tcPr>
            <w:tcW w:w="2375" w:type="dxa"/>
            <w:tcBorders/>
            <w:shd w:fill="CCEEFF" w:val="clear"/>
            <w:vAlign w:val="center"/>
          </w:tcPr>
          <w:p>
            <w:pPr>
              <w:pStyle w:val="TableContents"/>
              <w:bidi w:val="0"/>
              <w:spacing w:before="0" w:after="283"/>
              <w:jc w:val="left"/>
              <w:rPr/>
            </w:pPr>
            <w:r>
              <w:rPr/>
              <w:t>Balance January 1,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164,309</w:t>
            </w:r>
          </w:p>
        </w:tc>
        <w:tc>
          <w:tcPr>
            <w:tcW w:w="11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Revenue recognized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(8,778,893</w:t>
            </w:r>
          </w:p>
        </w:tc>
        <w:tc>
          <w:tcPr>
            <w:tcW w:w="110" w:type="dxa"/>
            <w:tcBorders/>
            <w:vAlign w:val="center"/>
          </w:tcPr>
          <w:p>
            <w:pPr>
              <w:pStyle w:val="TableContents"/>
              <w:bidi w:val="0"/>
              <w:spacing w:before="0" w:after="283"/>
              <w:jc w:val="left"/>
              <w:rPr/>
            </w:pPr>
            <w:r>
              <w:rPr/>
              <w:t>)</w:t>
            </w:r>
          </w:p>
        </w:tc>
      </w:tr>
      <w:tr>
        <w:trPr/>
        <w:tc>
          <w:tcPr>
            <w:tcW w:w="2375" w:type="dxa"/>
            <w:tcBorders/>
            <w:shd w:fill="CCEEFF" w:val="clear"/>
            <w:vAlign w:val="center"/>
          </w:tcPr>
          <w:p>
            <w:pPr>
              <w:pStyle w:val="TableContents"/>
              <w:bidi w:val="0"/>
              <w:spacing w:before="0" w:after="283"/>
              <w:jc w:val="left"/>
              <w:rPr/>
            </w:pPr>
            <w:r>
              <w:rPr/>
              <w:t>Amount collected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9,349,724</w:t>
            </w:r>
          </w:p>
        </w:tc>
        <w:tc>
          <w:tcPr>
            <w:tcW w:w="110" w:type="dxa"/>
            <w:tcBorders/>
            <w:shd w:fill="CCEEFF" w:val="clear"/>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Balance March 31, 2023</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735,140</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Disaggregation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ASC Topic 606, we have disaggregated our revenue by timing of revenue recognition. The majority of our revenue is recognized over time as solutions are provided. A small portion of our revenue related to program development, solution architect design, and other solutions is recognized at a point in time upon delivery to customers. A break down is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3605"/>
        <w:gridCol w:w="60"/>
        <w:gridCol w:w="140"/>
        <w:gridCol w:w="1100"/>
        <w:gridCol w:w="60"/>
        <w:gridCol w:w="60"/>
        <w:gridCol w:w="140"/>
        <w:gridCol w:w="1100"/>
        <w:gridCol w:w="75"/>
      </w:tblGrid>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March 31,</w:t>
            </w:r>
          </w:p>
        </w:tc>
        <w:tc>
          <w:tcPr>
            <w:tcW w:w="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Revenue recognized over time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12,423,100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12,902,664</w:t>
            </w:r>
          </w:p>
        </w:tc>
        <w:tc>
          <w:tcPr>
            <w:tcW w:w="7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Revenue recognized at a point in time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579,810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828,867</w:t>
            </w:r>
          </w:p>
        </w:tc>
        <w:tc>
          <w:tcPr>
            <w:tcW w:w="7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13,002,910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13,731,530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operating leases for office space in two multitenant facilities in Rochester, Michigan and Zagreb, Croatia. We also had a lease on office space in Cranbury, New Jersey, which expired in January 2022. For leases that contain renewal options, we have only assumed renewal for the headquarters lease. 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and occasional rent for transient meeting and office spaces in shared office space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5 – LEASES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the Company’s lease cost consists of the following components, each of which is included in operating expenses within the Company’s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6313" w:type="dxa"/>
        <w:jc w:val="left"/>
        <w:tblInd w:w="0" w:type="dxa"/>
        <w:tblLayout w:type="fixed"/>
        <w:tblCellMar>
          <w:top w:w="0" w:type="dxa"/>
          <w:left w:w="0" w:type="dxa"/>
          <w:bottom w:w="0" w:type="dxa"/>
          <w:right w:w="0" w:type="dxa"/>
        </w:tblCellMar>
      </w:tblPr>
      <w:tblGrid>
        <w:gridCol w:w="2000"/>
        <w:gridCol w:w="60"/>
        <w:gridCol w:w="346"/>
        <w:gridCol w:w="1683"/>
        <w:gridCol w:w="60"/>
        <w:gridCol w:w="60"/>
        <w:gridCol w:w="346"/>
        <w:gridCol w:w="168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pPr>
            <w:r>
              <w:rPr/>
              <w:t>Three Months Ended</w:t>
              <w:br/>
              <w:t>March 31,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center"/>
          </w:tcPr>
          <w:p>
            <w:pPr>
              <w:pStyle w:val="TableContents"/>
              <w:bidi w:val="0"/>
              <w:spacing w:before="0" w:after="283"/>
              <w:jc w:val="center"/>
              <w:rPr/>
            </w:pPr>
            <w:r>
              <w:rPr/>
              <w:t>Three Months Ended</w:t>
              <w:br/>
              <w:t>March 31,</w:t>
              <w:br/>
              <w:t>2022</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683" w:type="dxa"/>
            <w:tcBorders/>
            <w:shd w:fill="CCEEFF" w:val="clear"/>
            <w:vAlign w:val="center"/>
          </w:tcPr>
          <w:p>
            <w:pPr>
              <w:pStyle w:val="TableContents"/>
              <w:bidi w:val="0"/>
              <w:spacing w:before="0" w:after="283"/>
              <w:jc w:val="right"/>
              <w:rPr/>
            </w:pPr>
            <w:r>
              <w:rPr/>
              <w:t>24,696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w:t>
            </w:r>
          </w:p>
        </w:tc>
        <w:tc>
          <w:tcPr>
            <w:tcW w:w="1683" w:type="dxa"/>
            <w:tcBorders/>
            <w:shd w:fill="CCEEFF" w:val="clear"/>
            <w:vAlign w:val="center"/>
          </w:tcPr>
          <w:p>
            <w:pPr>
              <w:pStyle w:val="TableContents"/>
              <w:bidi w:val="0"/>
              <w:spacing w:before="0" w:after="283"/>
              <w:jc w:val="right"/>
              <w:rPr/>
            </w:pPr>
            <w:r>
              <w:rPr/>
              <w:t>28,023</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Short-term lease cost</w:t>
            </w:r>
          </w:p>
        </w:tc>
        <w:tc>
          <w:tcPr>
            <w:tcW w:w="60" w:type="dxa"/>
            <w:tcBorders/>
            <w:vAlign w:val="center"/>
          </w:tcPr>
          <w:p>
            <w:pPr>
              <w:pStyle w:val="TableContents"/>
              <w:bidi w:val="0"/>
              <w:spacing w:before="0" w:after="283"/>
              <w:jc w:val="left"/>
              <w:rPr/>
            </w:pPr>
            <w:r>
              <w:rPr/>
              <w:t> </w:t>
            </w:r>
          </w:p>
        </w:tc>
        <w:tc>
          <w:tcPr>
            <w:tcW w:w="3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3" w:type="dxa"/>
            <w:tcBorders>
              <w:bottom w:val="single" w:sz="12" w:space="0" w:color="000000"/>
            </w:tcBorders>
            <w:tcMar>
              <w:bottom w:w="28" w:type="dxa"/>
            </w:tcMar>
            <w:vAlign w:val="center"/>
          </w:tcPr>
          <w:p>
            <w:pPr>
              <w:pStyle w:val="TableContents"/>
              <w:bidi w:val="0"/>
              <w:spacing w:before="0" w:after="283"/>
              <w:jc w:val="right"/>
              <w:rPr/>
            </w:pPr>
            <w:r>
              <w:rPr/>
              <w:t>8,063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683" w:type="dxa"/>
            <w:tcBorders>
              <w:bottom w:val="single" w:sz="12" w:space="0" w:color="000000"/>
            </w:tcBorders>
            <w:tcMar>
              <w:bottom w:w="28" w:type="dxa"/>
            </w:tcMar>
            <w:vAlign w:val="center"/>
          </w:tcPr>
          <w:p>
            <w:pPr>
              <w:pStyle w:val="TableContents"/>
              <w:bidi w:val="0"/>
              <w:spacing w:before="0" w:after="283"/>
              <w:jc w:val="right"/>
              <w:rPr/>
            </w:pPr>
            <w:r>
              <w:rPr/>
              <w:t>8,092</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3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3" w:type="dxa"/>
            <w:tcBorders>
              <w:bottom w:val="double" w:sz="10" w:space="0" w:color="000000"/>
            </w:tcBorders>
            <w:shd w:fill="CCEEFF" w:val="clear"/>
            <w:tcMar>
              <w:bottom w:w="28" w:type="dxa"/>
            </w:tcMar>
            <w:vAlign w:val="center"/>
          </w:tcPr>
          <w:p>
            <w:pPr>
              <w:pStyle w:val="TableContents"/>
              <w:bidi w:val="0"/>
              <w:spacing w:before="0" w:after="283"/>
              <w:jc w:val="right"/>
              <w:rPr/>
            </w:pPr>
            <w:r>
              <w:rPr/>
              <w:t>32,759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683" w:type="dxa"/>
            <w:tcBorders>
              <w:bottom w:val="double" w:sz="10" w:space="0" w:color="000000"/>
            </w:tcBorders>
            <w:shd w:fill="CCEEFF" w:val="clear"/>
            <w:tcMar>
              <w:bottom w:w="28" w:type="dxa"/>
            </w:tcMar>
            <w:vAlign w:val="center"/>
          </w:tcPr>
          <w:p>
            <w:pPr>
              <w:pStyle w:val="TableContents"/>
              <w:bidi w:val="0"/>
              <w:spacing w:before="0" w:after="283"/>
              <w:jc w:val="right"/>
              <w:rPr/>
            </w:pPr>
            <w:r>
              <w:rPr/>
              <w:t>36,115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future minimum lease payments to be made under operating leases as of March 31, 2023:</w:t>
      </w:r>
    </w:p>
    <w:p>
      <w:pPr>
        <w:pStyle w:val="TextBody"/>
        <w:bidi w:val="0"/>
        <w:spacing w:before="0" w:after="0"/>
        <w:ind w:left="0" w:right="0" w:hanging="0"/>
        <w:jc w:val="both"/>
        <w:rPr>
          <w:caps w:val="false"/>
          <w:smallCaps w:val="false"/>
        </w:rPr>
      </w:pPr>
      <w:r>
        <w:rPr>
          <w:caps w:val="false"/>
          <w:smallCaps w:val="false"/>
        </w:rPr>
        <w:t> </w:t>
      </w:r>
    </w:p>
    <w:tbl>
      <w:tblPr>
        <w:tblW w:w="3030" w:type="dxa"/>
        <w:jc w:val="left"/>
        <w:tblInd w:w="0" w:type="dxa"/>
        <w:tblLayout w:type="fixed"/>
        <w:tblCellMar>
          <w:top w:w="0" w:type="dxa"/>
          <w:left w:w="0" w:type="dxa"/>
          <w:bottom w:w="28" w:type="dxa"/>
          <w:right w:w="0" w:type="dxa"/>
        </w:tblCellMar>
      </w:tblPr>
      <w:tblGrid>
        <w:gridCol w:w="1955"/>
        <w:gridCol w:w="60"/>
        <w:gridCol w:w="140"/>
        <w:gridCol w:w="800"/>
        <w:gridCol w:w="75"/>
      </w:tblGrid>
      <w:tr>
        <w:trPr/>
        <w:tc>
          <w:tcPr>
            <w:tcW w:w="1955" w:type="dxa"/>
            <w:tcBorders>
              <w:bottom w:val="single" w:sz="12"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2023</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73,860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2024</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80,253</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70,224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Total</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224,337</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pPr>
            <w:r>
              <w:rPr/>
              <w:t>Less: discount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800" w:type="dxa"/>
            <w:tcBorders>
              <w:bottom w:val="single" w:sz="12" w:space="0" w:color="000000"/>
            </w:tcBorders>
            <w:shd w:fill="CCEEFF" w:val="clear"/>
            <w:vAlign w:val="center"/>
          </w:tcPr>
          <w:p>
            <w:pPr>
              <w:pStyle w:val="TableContents"/>
              <w:bidi w:val="0"/>
              <w:spacing w:before="0" w:after="283"/>
              <w:jc w:val="right"/>
              <w:rPr/>
            </w:pPr>
            <w:r>
              <w:rPr/>
              <w:t>11,823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tcMar>
              <w:bottom w:w="0" w:type="dxa"/>
            </w:tcMar>
            <w:vAlign w:val="center"/>
          </w:tcPr>
          <w:p>
            <w:pPr>
              <w:pStyle w:val="TableContents"/>
              <w:bidi w:val="0"/>
              <w:spacing w:before="0" w:after="283"/>
              <w:jc w:val="left"/>
              <w:rPr/>
            </w:pPr>
            <w:r>
              <w:rPr/>
              <w:t>Total lease liabilities</w:t>
            </w:r>
          </w:p>
        </w:tc>
        <w:tc>
          <w:tcPr>
            <w:tcW w:w="60" w:type="dxa"/>
            <w:tcBorders/>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vAlign w:val="center"/>
          </w:tcPr>
          <w:p>
            <w:pPr>
              <w:pStyle w:val="TableContents"/>
              <w:bidi w:val="0"/>
              <w:spacing w:before="0" w:after="283"/>
              <w:jc w:val="left"/>
              <w:rPr/>
            </w:pPr>
            <w:r>
              <w:rPr/>
              <w:t>$</w:t>
            </w:r>
          </w:p>
        </w:tc>
        <w:tc>
          <w:tcPr>
            <w:tcW w:w="800" w:type="dxa"/>
            <w:tcBorders>
              <w:bottom w:val="double" w:sz="10" w:space="0" w:color="000000"/>
            </w:tcBorders>
            <w:vAlign w:val="center"/>
          </w:tcPr>
          <w:p>
            <w:pPr>
              <w:pStyle w:val="TableContents"/>
              <w:bidi w:val="0"/>
              <w:spacing w:before="0" w:after="283"/>
              <w:jc w:val="right"/>
              <w:rPr/>
            </w:pPr>
            <w:r>
              <w:rPr/>
              <w:t>212,514</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 at March 31, 2023 for operating leases is 2.5 years and the weighted average discount rate used in calculating the operating lease asset and liability is 4.5%. Cash paid for amounts included in the measurement of lease liabilities was $22,185 and $24,493 for the three months ended March 31, 2023 and 2022, respectively. For the three months ended March 31, 2023 and 2022, payments on lease obligations were $24,620 and $27,898, respectively, and amortization on the right of use assets was $24,696 and $28,023,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10,000,000 shares of preferred stock, $0.001 par value per share, authorized as of March 31, 2023. No shares were issued or outstanding in either 2023 or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166,666,667 shares of common stock, $0.001 par value per share, authorized as of March 31, 2023. There were 17,117,113 and 17,074,173 shares of common stock outstanding, net of shares held in treasury, at March 31, 2023 and December 31,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9,668 shares of common stock and received proceeds of $40,606 in the three months ended March 31, 2023 in connection with the exercise of options under our 2013 Incentive Plan. During the quarter ended March 31, 2022, we issued 28,006 shares of common stock and received proceeds of $258,128 under the same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6 – STOCKHOLDERS’ EQUITY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33,272 and 13,627 shares of common stock in the three months ended March 31, 2023 and 2022, respectively in connection with the vesting of restricted stock units under our 2013 Incentive Plan and 2021 Equity Incentive Plan. In the three months ended March 31, 2023, certain participants utilized a net withhold settlement method, in which shares were surrendered to cover payroll withholding tax. Of the shares issued to participants during the three months ended March 31, 2023, 9,502 shares, valued at $170,400, were surrendered and subsequently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Treasury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2023, the Board authorized a share repurchase program, under which the Company may repurchase up to $15 million of its outstanding common stock. During the quarter ended March 31, 2023, there were no shares of our common stock repurchased under this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Board authorized a share repurchase program, under which the Company could repurchase up to $20.0 million of its outstanding common stock. During 2022, the Company repurchased 1,214,398 shares of our common stock for a total of $20,021,830, including commissions paid on repurchases. These shares were recorded as treasury shares using the par value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7 – 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expense related to options for the three months ended March 31, 2023 and 2022, was $1,466,694 and $905,744, respectively. The fair value of these instruments was calculated using the Black-Scholes option pricing model. There is $11,021,446 of remaining expense related to unvested options to be recognized in the future over a weighted average period of 1.91 years. The total intrinsic value of outstanding options at March 31, 2023 was $392,669.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granted certain performance based stock options, the expense for which will be recorded over time once the achievement of the performance is deemed probable. There was no expense related to these options recorded during the period.</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of $2,913,809 and $2,268,354 in compensation expense related to restricted stock units for the three months ended March 31, 2023 and 2022, respectively. A total of $14,830,343 remains to be recognized at March 31, 2023 over a weighted average period of 1.9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$2,913,809 and $2,268,354 in compensation expense, $1,503,359 for each period related to market-based equity grants. These market-based restricted stock units were valued using a Monte Carlo simulation There is $3,596,738 remaining to expense over a weighted average period of 0.95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the Company granted certain performance based stock units, the expense for which will be recorded over time once the achievement of the performance is deemed probable. There was no expense related to these units recorded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compensation program calls for the grant of restricted stock units with a one year vesting period. There was $184,620 and $62,889 included in the compensation expense discussed above related to director’s compensation for the periods ending March 31,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 EARNINGS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(“EPS”) is computed by dividing net income (loss) by the weighted average number of common shares outstanding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THE CONDENSED CONSOLIDATED FINANCIAL STATEMENTS (UNAUDITED)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8 – EARNINGS (LOSS) PER SHARE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related to options and restricted stock units included in diluted EPS is based on the “Treasury Stock Method” prescribed in ASC 260-10,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includable in the calculation of EPS in respect of the stock options and restricted stock units is dependent on this average stock price and will increase as the average stock price increases.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loss per share.</w:t>
      </w:r>
    </w:p>
    <w:tbl>
      <w:tblPr>
        <w:tblW w:w="9830" w:type="dxa"/>
        <w:jc w:val="left"/>
        <w:tblInd w:w="0" w:type="dxa"/>
        <w:tblLayout w:type="fixed"/>
        <w:tblCellMar>
          <w:top w:w="0" w:type="dxa"/>
          <w:left w:w="0" w:type="dxa"/>
          <w:bottom w:w="0" w:type="dxa"/>
          <w:right w:w="0" w:type="dxa"/>
        </w:tblCellMar>
      </w:tblPr>
      <w:tblGrid>
        <w:gridCol w:w="7025"/>
        <w:gridCol w:w="60"/>
        <w:gridCol w:w="140"/>
        <w:gridCol w:w="1100"/>
        <w:gridCol w:w="95"/>
        <w:gridCol w:w="60"/>
        <w:gridCol w:w="140"/>
        <w:gridCol w:w="1100"/>
        <w:gridCol w:w="110"/>
      </w:tblGrid>
      <w:tr>
        <w:trPr/>
        <w:tc>
          <w:tcPr>
            <w:tcW w:w="7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March 31,</w:t>
            </w:r>
          </w:p>
        </w:tc>
        <w:tc>
          <w:tcPr>
            <w:tcW w:w="110" w:type="dxa"/>
            <w:tcBorders/>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(6,397,714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(3,761,098</w:t>
            </w:r>
          </w:p>
        </w:tc>
        <w:tc>
          <w:tcPr>
            <w:tcW w:w="110" w:type="dxa"/>
            <w:tcBorders/>
            <w:shd w:fill="CCEEFF" w:val="clear"/>
            <w:vAlign w:val="center"/>
          </w:tcPr>
          <w:p>
            <w:pPr>
              <w:pStyle w:val="TableContents"/>
              <w:bidi w:val="0"/>
              <w:spacing w:before="0" w:after="283"/>
              <w:jc w:val="left"/>
              <w:rPr/>
            </w:pPr>
            <w:r>
              <w:rPr/>
              <w:t>)</w:t>
            </w:r>
          </w:p>
        </w:tc>
      </w:tr>
      <w:tr>
        <w:trPr/>
        <w:tc>
          <w:tcPr>
            <w:tcW w:w="7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Weighted average shares outstanding used in computing net loss per share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17,094,676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17,878,068</w:t>
            </w:r>
          </w:p>
        </w:tc>
        <w:tc>
          <w:tcPr>
            <w:tcW w:w="110" w:type="dxa"/>
            <w:tcBorders/>
            <w:shd w:fill="CCEEFF" w:val="cle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Effect of dilutive stock options, warrants, and stock grants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17,094,676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17,878,068</w:t>
            </w:r>
          </w:p>
        </w:tc>
        <w:tc>
          <w:tcPr>
            <w:tcW w:w="110" w:type="dxa"/>
            <w:tcBorders/>
            <w:shd w:fill="CCEEFF" w:val="cle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283"/>
              <w:jc w:val="left"/>
              <w:rPr/>
            </w:pPr>
            <w:r>
              <w:rPr/>
              <w:t>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25" w:type="dxa"/>
            <w:tcBorders/>
            <w:vAlign w:val="center"/>
          </w:tcPr>
          <w:p>
            <w:pPr>
              <w:pStyle w:val="TableContents"/>
              <w:bidi w:val="0"/>
              <w:spacing w:before="0" w:after="283"/>
              <w:jc w:val="left"/>
              <w:rPr/>
            </w:pPr>
            <w:r>
              <w:rPr/>
              <w:t>Basic</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(0.37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double" w:sz="10" w:space="0" w:color="000000"/>
            </w:tcBorders>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tcMar>
              <w:bottom w:w="28" w:type="dxa"/>
            </w:tcMar>
            <w:vAlign w:val="center"/>
          </w:tcPr>
          <w:p>
            <w:pPr>
              <w:pStyle w:val="TableContents"/>
              <w:bidi w:val="0"/>
              <w:spacing w:before="0" w:after="283"/>
              <w:jc w:val="right"/>
              <w:rPr/>
            </w:pPr>
            <w:r>
              <w:rPr/>
              <w:t>(0.21</w:t>
            </w:r>
          </w:p>
        </w:tc>
        <w:tc>
          <w:tcPr>
            <w:tcW w:w="110" w:type="dxa"/>
            <w:tcBorders/>
            <w:vAlign w:val="center"/>
          </w:tcPr>
          <w:p>
            <w:pPr>
              <w:pStyle w:val="TableContents"/>
              <w:bidi w:val="0"/>
              <w:spacing w:before="0" w:after="283"/>
              <w:jc w:val="left"/>
              <w:rPr/>
            </w:pPr>
            <w:r>
              <w:rPr/>
              <w:t>)</w:t>
            </w:r>
          </w:p>
        </w:tc>
      </w:tr>
      <w:tr>
        <w:trPr/>
        <w:tc>
          <w:tcPr>
            <w:tcW w:w="702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(0.21</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calculation of diluted earnings per share is included for the three months ended March 31, 2023 or 2022 as the effect of the calculation would be anti-dilutive. The number of common shares potentially issuable upon the exercise of certain options that were excluded from the diluted loss per common share calculation for the three months ended March 31,2023 was 34,055 related to options, and 59,749 related to restricted stock units, for a total of 93,804 shares. The number of common shares potentially issuable upon the exercise of certain options that were excluded from the diluted loss per common share calculation for the three months ended March 31,2022 was 221,251 related to options, and 77,446 related to restricted stock units, for a total of 298,697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9 –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involved in any material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10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our annual report on Form 10-K for the year ended December 31, 2022, we had net operating loss carry-forwards for federal income tax purposes of approximately $21.5 million as of December 31, 2022. Accordingly, no federal income tax expense or benefit is recorded in the current period. Management monitors company-specific, and macro-economic factors and assesses the likelihood that the Company’s net deferred tax assets will be utilized prior to their expiration. As previously disclosed in our annual report, the Company maintained a valuation allowance against its net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11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2023, Mr. Febbo forfeited his October 2021 grant under the 2021 Equity Incentive Plan (the “2021 Febbo Grant”). These shares were returned to the 2021 Equity Incentive Plan. In light of Mr. Febbo’s forfeiture of the 2021 Febbo Grant, the Compensation Committee determined to again include Mr. Febbo in the Company’s annual equity grants under the 2021 Equity Incentive Plan and subsequently issued Mr. Febbo a grant of options and restricted stock units with an aggregate grant date value of $2.5 million. The forfeiture and subsequent issuance will be accounted for as a modification in accordance with ASC 718.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April 1 through May 7, we issued 10,595 shares of common stock in conjunction with the vesting of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Actual results could differ materially from those expressed in or implied by such forward-looking statements due to a variety of factors, including: seasonal trends in the pharmaceutical brand marketing industry; the inability to support our technology and scale our operations successfully, developing and implementing new and updated applications, features and services for our portals may be more difficult and expensive and take longer than expected; the inability to offer high-quality customer support for our portals; dependence on a concentrated group of customers; inability to maintain contracts with electronic prescription platforms,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candidates, complete acquisitions or integrate acquisitions successfully;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and volatility in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2022. Moreover, we operate in a rapidly changing and competitive environment. New risk factors emerge from time to time, and it is not possible for management to predict all such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digital health technology company enabling care-focused engagement between life sciences organizations, healthcare providers, and patients at critical junctures throughout the patient care journey. Connecting over 60% of U.S. healthcare providers and millions of their patients through an intelligent technology platform embedded within a proprietary point-of-care network, OptimizeRx helps patients start and stay on their medications.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revenue was generated primarily through the facilitation of financial messages to health care providers via their EHR and ePrescribe systems using the OptimizeRx proprietary network to solve the ever-increasing communication barriers between pharmaceutical representatives and healthcare providers that have presented in the rapidly changing healthcare industry. Over time, as the demand for communication of an increasing variety of different health information between life science companies, providers, and patients continued to rise, our platform has expanded to encompass additional solutions that enable healthcare providers to access information for patients at the point of care. These solutions include brand messaging, therapeutic support messaging, brand support, and innovative patient engagement services, all of which now make up a significant portion of our total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a “land and expand” strategy focused on growing our existing client base and generating greater and more consistent revenues in part through the continued shift in our business model toward enterprise level engagements, while also broadening our platform with innovative proprietary solutions such as our TelaRep™ virtual communication solution and our artificial intelligence-powered real-world data solution which uses sophisticated proprietary algorithms to derive additional revenue from our existing network. In addition, we have continued to expand our team in preparation for future growth aspirations, which may be supplemented with future acquisitions and other strategic collaborations and investments. Our strategy for driving revenue growth is also expected to work in tandem with our efforts to increase margin and profitability using the aforementioned recurring revenue models that have inherently higher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pharmaceutical industry is dominated by large companies with multiple brands, our revenue is concentrated in a relatively small number of companies. We have approximately 100 pharmaceutical companies as customers, and our revenues are concentrated in these customers. Loss of one of more of our larger customers could have a negative impact on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pharmaceutical brand marketing industry experiences seasonal trends that affect the vast majority of participants in the pharmaceutical digital marketing industry. Many pharmaceutical companies allocate the largest portion of their brand marketing to the fourth quarter of the calendar year. As a result, the first quarter tends to reflect lower activity levels and lower revenue, with gradual increases in the following quarters. We generally expect these seasonality trends to continue and our ability to effectively manage our resources in anticipation of these trends may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Macroeconomic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the economy may negatively affect the growth of our business and our results of operations. For example, macroeconomic events including the COVID-19 pandemic, rising inflation and the U.S. Federal Reserve raising interest rates have led to economic uncertainty.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the following key performance indicators to help us evaluate our 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2022 revenue”. We previously used “The top 20 pharma companies by 2020 revenue”. As a result of this change, prior periods have been restated for comparative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Average revenue per top 20 pharmaceutical manufacturer. </w:t>
      </w:r>
      <w:r>
        <w:rPr>
          <w:rFonts w:ascii="Times New Roman;Times;Serif" w:hAnsi="Times New Roman;Times;Serif"/>
          <w:b w:val="false"/>
          <w:i w:val="false"/>
          <w:caps w:val="false"/>
          <w:smallCaps w:val="false"/>
          <w:sz w:val="20"/>
        </w:rPr>
        <w:t>Average revenue per top 20 pharmaceutical manufacturer is calculated by taking the total revenue the company recognized through pharmaceutical manufacturers listed in Fierce Pharma’s “The top 20 pharma companies by 2022 revenue” over the last twelve months, divided by the total number of the aforementioned pharmaceutical manufacturers that our solutions helped support over that time period. The Company uses this metric to monitor its progress in “landing and expanding” with key customers within its largest customer vertical and believes it also provides investors with a transparent way to chart our progress in penetrating this important customer segment. The decrease in the average in twelve months ended March 31, 2023 as compared to the twelve months ended March 31, 2022 is primarily the result of the convergence of numerous macroeconomic factors that resulted in our customers slowing their rate of spend, particularly for large and/or new implementations, which we believe prolonged sales cycles with the top 20 pharmaceutical manufacturers that were existing customers.</w:t>
      </w:r>
    </w:p>
    <w:p>
      <w:pPr>
        <w:pStyle w:val="TextBody"/>
        <w:bidi w:val="0"/>
        <w:spacing w:before="0" w:after="0"/>
        <w:ind w:left="0" w:right="0" w:hanging="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5465"/>
        <w:gridCol w:w="60"/>
        <w:gridCol w:w="140"/>
        <w:gridCol w:w="980"/>
        <w:gridCol w:w="60"/>
        <w:gridCol w:w="60"/>
        <w:gridCol w:w="140"/>
        <w:gridCol w:w="980"/>
        <w:gridCol w:w="75"/>
      </w:tblGrid>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Rolling Twelve Months </w:t>
              <w:br/>
              <w:t>Ended March 31</w:t>
            </w:r>
          </w:p>
        </w:tc>
        <w:tc>
          <w:tcPr>
            <w:tcW w:w="7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Average revenue per top 20 pharmaceutical manufacturer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1,993,755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2,614,054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Percent of top 20 pharmaceutical manufacturers that are customers. </w:t>
      </w:r>
      <w:r>
        <w:rPr>
          <w:rFonts w:ascii="Times New Roman;Times;Serif" w:hAnsi="Times New Roman;Times;Serif"/>
          <w:b w:val="false"/>
          <w:i w:val="false"/>
          <w:caps w:val="false"/>
          <w:smallCaps w:val="false"/>
          <w:sz w:val="20"/>
        </w:rPr>
        <w:t>Percent of top 20 pharmaceutical manufacturers that are customers is calculated by taking the number of revenue generating customers that are pharmaceutical manufacturers listed in Fierce Pharma’s “The top 20 pharma companies by 2022 revenue” over the last 12 months, which is then divided by 20—which is the number of pharmaceutical manufacturers included in the aforementioned list. The Company uses this metric to monitor its progress in penetrating key customers within its largest customer vertical and believes it also provides investors with a transparent way to chart our progress in penetrating this important customer segment. Our penetration within this core customer group stayed consistent from the twelve months ended March 31, 2022 to the twelve months ended March 31, 2023.</w:t>
      </w:r>
    </w:p>
    <w:p>
      <w:pPr>
        <w:pStyle w:val="TextBody"/>
        <w:bidi w:val="0"/>
        <w:spacing w:before="0" w:after="0"/>
        <w:ind w:left="0" w:right="0" w:hanging="0"/>
        <w:jc w:val="both"/>
        <w:rPr>
          <w:caps w:val="false"/>
          <w:smallCaps w:val="false"/>
        </w:rPr>
      </w:pPr>
      <w:r>
        <w:rPr>
          <w:caps w:val="false"/>
          <w:smallCaps w:val="false"/>
        </w:rPr>
        <w:t> </w:t>
      </w:r>
    </w:p>
    <w:tbl>
      <w:tblPr>
        <w:tblW w:w="8922" w:type="dxa"/>
        <w:jc w:val="left"/>
        <w:tblInd w:w="0" w:type="dxa"/>
        <w:tblLayout w:type="fixed"/>
        <w:tblCellMar>
          <w:top w:w="0" w:type="dxa"/>
          <w:left w:w="0" w:type="dxa"/>
          <w:bottom w:w="0" w:type="dxa"/>
          <w:right w:w="0" w:type="dxa"/>
        </w:tblCellMar>
      </w:tblPr>
      <w:tblGrid>
        <w:gridCol w:w="6290"/>
        <w:gridCol w:w="60"/>
        <w:gridCol w:w="153"/>
        <w:gridCol w:w="666"/>
        <w:gridCol w:w="551"/>
        <w:gridCol w:w="153"/>
        <w:gridCol w:w="153"/>
        <w:gridCol w:w="666"/>
        <w:gridCol w:w="23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2"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Rolling Twelve Months </w:t>
              <w:br/>
              <w:t> Ended March 31</w:t>
            </w:r>
          </w:p>
        </w:tc>
        <w:tc>
          <w:tcPr>
            <w:tcW w:w="230"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55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19"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23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left"/>
              <w:rPr/>
            </w:pPr>
            <w:r>
              <w:rPr/>
              <w:t>Percent of top 20 pharmaceutical manufacturers that are customers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90</w:t>
            </w:r>
          </w:p>
        </w:tc>
        <w:tc>
          <w:tcPr>
            <w:tcW w:w="551" w:type="dxa"/>
            <w:tcBorders/>
            <w:shd w:fill="CCEEFF" w:val="clear"/>
            <w:vAlign w:val="center"/>
          </w:tcPr>
          <w:p>
            <w:pPr>
              <w:pStyle w:val="TableContents"/>
              <w:bidi w:val="0"/>
              <w:spacing w:before="0" w:after="283"/>
              <w:jc w:val="left"/>
              <w:rPr/>
            </w:pPr>
            <w:r>
              <w:rPr/>
              <w:t>%</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90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Percent of total revenue attributable to top 20 pharmaceutical manufacturers.</w:t>
      </w:r>
      <w:r>
        <w:rPr>
          <w:rFonts w:ascii="Times New Roman;Times;Serif" w:hAnsi="Times New Roman;Times;Serif"/>
          <w:b w:val="false"/>
          <w:i w:val="false"/>
          <w:caps w:val="false"/>
          <w:smallCaps w:val="false"/>
          <w:sz w:val="20"/>
        </w:rPr>
        <w:t xml:space="preserve"> Percent of total revenue attributable to top 20 pharmaceutical manufacturers is calculated by taking the total revenue the company recognized through pharmaceutical manufacturers listed in Fierce Pharma’s “The top 20 pharma companies by 2022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Our revenue from customers that aren’t top 20 pharmaceutical manufacturers increased faster than our overall revenue, decreasing the percentage of our overall revenues from top 20 pharmaceutical manufacturers.</w:t>
      </w:r>
    </w:p>
    <w:p>
      <w:pPr>
        <w:pStyle w:val="TextBody"/>
        <w:bidi w:val="0"/>
        <w:spacing w:before="0" w:after="0"/>
        <w:ind w:left="0" w:right="0" w:hanging="0"/>
        <w:jc w:val="left"/>
        <w:rPr>
          <w:caps w:val="false"/>
          <w:smallCaps w:val="false"/>
        </w:rPr>
      </w:pPr>
      <w:r>
        <w:rPr>
          <w:caps w:val="false"/>
          <w:smallCaps w:val="false"/>
        </w:rPr>
        <w:t> </w:t>
      </w:r>
    </w:p>
    <w:tbl>
      <w:tblPr>
        <w:tblW w:w="9792" w:type="dxa"/>
        <w:jc w:val="left"/>
        <w:tblInd w:w="0" w:type="dxa"/>
        <w:tblLayout w:type="fixed"/>
        <w:tblCellMar>
          <w:top w:w="0" w:type="dxa"/>
          <w:left w:w="0" w:type="dxa"/>
          <w:bottom w:w="0" w:type="dxa"/>
          <w:right w:w="0" w:type="dxa"/>
        </w:tblCellMar>
      </w:tblPr>
      <w:tblGrid>
        <w:gridCol w:w="7160"/>
        <w:gridCol w:w="60"/>
        <w:gridCol w:w="153"/>
        <w:gridCol w:w="666"/>
        <w:gridCol w:w="551"/>
        <w:gridCol w:w="153"/>
        <w:gridCol w:w="153"/>
        <w:gridCol w:w="666"/>
        <w:gridCol w:w="230"/>
      </w:tblGrid>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2"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Rolling Twelve Months </w:t>
              <w:br/>
              <w:t> Ended March 31</w:t>
            </w:r>
          </w:p>
        </w:tc>
        <w:tc>
          <w:tcPr>
            <w:tcW w:w="23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9"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55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819"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230"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Percent of total revenue attributable to top 20 pharmaceutical manufacturers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58</w:t>
            </w:r>
          </w:p>
        </w:tc>
        <w:tc>
          <w:tcPr>
            <w:tcW w:w="551" w:type="dxa"/>
            <w:tcBorders/>
            <w:shd w:fill="CCEEFF" w:val="clear"/>
            <w:vAlign w:val="center"/>
          </w:tcPr>
          <w:p>
            <w:pPr>
              <w:pStyle w:val="TableContents"/>
              <w:bidi w:val="0"/>
              <w:spacing w:before="0" w:after="283"/>
              <w:jc w:val="left"/>
              <w:rPr/>
            </w:pPr>
            <w:r>
              <w:rPr/>
              <w:t>%</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right"/>
              <w:rPr/>
            </w:pPr>
            <w:r>
              <w:rPr/>
              <w:t>74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revenue retention.</w:t>
      </w:r>
      <w:r>
        <w:rPr>
          <w:rFonts w:ascii="Times New Roman;Times;Serif" w:hAnsi="Times New Roman;Times;Serif"/>
          <w:b w:val="false"/>
          <w:i w:val="false"/>
          <w:caps w:val="false"/>
          <w:smallCaps w:val="false"/>
          <w:sz w:val="20"/>
        </w:rPr>
        <w:t xml:space="preserve"> Net revenue retention is a comparison of revenue generated from all customers in the 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The retention rate in the twelve months ended March 31, 2023 was lower due to the convergence of numerous macroeconomic factors that resulted in our customers slowing their rate of spend, particularly for large and/or new implementations, which we believe prolonged sales cycles.</w:t>
      </w:r>
    </w:p>
    <w:p>
      <w:pPr>
        <w:pStyle w:val="TextBody"/>
        <w:bidi w:val="0"/>
        <w:spacing w:before="0" w:after="0"/>
        <w:ind w:left="0" w:right="0" w:hanging="0"/>
        <w:jc w:val="left"/>
        <w:rPr>
          <w:caps w:val="false"/>
          <w:smallCaps w:val="false"/>
        </w:rPr>
      </w:pPr>
      <w:r>
        <w:rPr>
          <w:caps w:val="false"/>
          <w:smallCaps w:val="false"/>
        </w:rPr>
        <w:t> </w:t>
      </w:r>
    </w:p>
    <w:tbl>
      <w:tblPr>
        <w:tblW w:w="4706" w:type="dxa"/>
        <w:jc w:val="left"/>
        <w:tblInd w:w="0" w:type="dxa"/>
        <w:tblLayout w:type="fixed"/>
        <w:tblCellMar>
          <w:top w:w="0" w:type="dxa"/>
          <w:left w:w="0" w:type="dxa"/>
          <w:bottom w:w="0" w:type="dxa"/>
          <w:right w:w="0" w:type="dxa"/>
        </w:tblCellMar>
      </w:tblPr>
      <w:tblGrid>
        <w:gridCol w:w="2075"/>
        <w:gridCol w:w="60"/>
        <w:gridCol w:w="135"/>
        <w:gridCol w:w="589"/>
        <w:gridCol w:w="487"/>
        <w:gridCol w:w="135"/>
        <w:gridCol w:w="135"/>
        <w:gridCol w:w="860"/>
        <w:gridCol w:w="23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1"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Rolling Twelve Months </w:t>
              <w:br/>
              <w:t> Ended March 31</w:t>
            </w:r>
          </w:p>
        </w:tc>
        <w:tc>
          <w:tcPr>
            <w:tcW w:w="23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487"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23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Net revenue retention</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86</w:t>
            </w:r>
          </w:p>
        </w:tc>
        <w:tc>
          <w:tcPr>
            <w:tcW w:w="487" w:type="dxa"/>
            <w:tcBorders/>
            <w:shd w:fill="CCEEFF" w:val="clear"/>
            <w:vAlign w:val="center"/>
          </w:tcPr>
          <w:p>
            <w:pPr>
              <w:pStyle w:val="TableContents"/>
              <w:bidi w:val="0"/>
              <w:spacing w:before="0" w:after="283"/>
              <w:jc w:val="left"/>
              <w:rPr/>
            </w:pPr>
            <w:r>
              <w:rPr/>
              <w:t>%</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124</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per average full-time employee.</w:t>
      </w:r>
      <w:r>
        <w:rPr>
          <w:rFonts w:ascii="Times New Roman;Times;Serif" w:hAnsi="Times New Roman;Times;Serif"/>
          <w:b w:val="false"/>
          <w:i w:val="false"/>
          <w:caps w:val="false"/>
          <w:smallCaps w:val="false"/>
          <w:sz w:val="20"/>
        </w:rPr>
        <w:t xml:space="preserve"> We define revenue per average full-time employee as total revenue over 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per employee declined year over year due to slower revenue growth and a higher average number of FTEs over the last 12 month period.</w:t>
      </w:r>
    </w:p>
    <w:p>
      <w:pPr>
        <w:pStyle w:val="TextBody"/>
        <w:bidi w:val="0"/>
        <w:spacing w:before="0" w:after="0"/>
        <w:ind w:left="0" w:right="0" w:hanging="0"/>
        <w:jc w:val="both"/>
        <w:rPr>
          <w:caps w:val="false"/>
          <w:smallCaps w:val="false"/>
        </w:rPr>
      </w:pPr>
      <w:r>
        <w:rPr>
          <w:caps w:val="false"/>
          <w:smallCaps w:val="false"/>
        </w:rPr>
        <w:t> </w:t>
      </w:r>
    </w:p>
    <w:tbl>
      <w:tblPr>
        <w:tblW w:w="6337" w:type="dxa"/>
        <w:jc w:val="left"/>
        <w:tblInd w:w="0" w:type="dxa"/>
        <w:tblLayout w:type="fixed"/>
        <w:tblCellMar>
          <w:top w:w="0" w:type="dxa"/>
          <w:left w:w="0" w:type="dxa"/>
          <w:bottom w:w="0" w:type="dxa"/>
          <w:right w:w="0" w:type="dxa"/>
        </w:tblCellMar>
      </w:tblPr>
      <w:tblGrid>
        <w:gridCol w:w="3860"/>
        <w:gridCol w:w="60"/>
        <w:gridCol w:w="76"/>
        <w:gridCol w:w="1019"/>
        <w:gridCol w:w="76"/>
        <w:gridCol w:w="76"/>
        <w:gridCol w:w="76"/>
        <w:gridCol w:w="1019"/>
        <w:gridCol w:w="75"/>
      </w:tblGrid>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2" w:type="dxa"/>
            <w:gridSpan w:val="6"/>
            <w:tcBorders>
              <w:bottom w:val="single" w:sz="12" w:space="0" w:color="000000"/>
            </w:tcBorders>
            <w:tcMar>
              <w:bottom w:w="28" w:type="dxa"/>
            </w:tcMar>
            <w:vAlign w:val="center"/>
          </w:tcPr>
          <w:p>
            <w:pPr>
              <w:pStyle w:val="TableContents"/>
              <w:bidi w:val="0"/>
              <w:spacing w:before="0" w:after="283"/>
              <w:jc w:val="center"/>
              <w:rPr/>
            </w:pPr>
            <w:r>
              <w:rPr/>
              <w:t xml:space="preserve">Rolling Twelve Months </w:t>
              <w:br/>
              <w:t> Ended March 31</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95"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283"/>
              <w:jc w:val="left"/>
              <w:rPr/>
            </w:pPr>
            <w:r>
              <w:rPr/>
              <w:t>Revenue per average full-time employee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605,113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733,275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March 31, 2023 and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for the periods indicated, the dollar value and percentage of net revenue represented by certain items in our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3710"/>
        <w:gridCol w:w="60"/>
        <w:gridCol w:w="140"/>
        <w:gridCol w:w="1100"/>
        <w:gridCol w:w="95"/>
        <w:gridCol w:w="60"/>
        <w:gridCol w:w="60"/>
        <w:gridCol w:w="560"/>
        <w:gridCol w:w="290"/>
        <w:gridCol w:w="60"/>
        <w:gridCol w:w="140"/>
        <w:gridCol w:w="1100"/>
        <w:gridCol w:w="95"/>
        <w:gridCol w:w="60"/>
        <w:gridCol w:w="60"/>
        <w:gridCol w:w="560"/>
        <w:gridCol w:w="305"/>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80" w:type="dxa"/>
            <w:gridSpan w:val="14"/>
            <w:tcBorders>
              <w:bottom w:val="single" w:sz="12" w:space="0" w:color="000000"/>
            </w:tcBorders>
            <w:tcMar>
              <w:bottom w:w="28" w:type="dxa"/>
            </w:tcMar>
            <w:vAlign w:val="center"/>
          </w:tcPr>
          <w:p>
            <w:pPr>
              <w:pStyle w:val="TableContents"/>
              <w:bidi w:val="0"/>
              <w:spacing w:before="0" w:after="283"/>
              <w:jc w:val="center"/>
              <w:rPr/>
            </w:pPr>
            <w:r>
              <w:rPr/>
              <w:t>Three months ended March 31,</w:t>
            </w:r>
          </w:p>
        </w:tc>
        <w:tc>
          <w:tcPr>
            <w:tcW w:w="305" w:type="dxa"/>
            <w:tcBorders/>
            <w:vAlign w:val="center"/>
          </w:tcPr>
          <w:p>
            <w:pPr>
              <w:pStyle w:val="TableContents"/>
              <w:bidi w:val="0"/>
              <w:spacing w:before="0" w:after="283"/>
              <w:jc w:val="left"/>
              <w:rPr/>
            </w:pPr>
            <w:r>
              <w:rPr/>
              <w:t> </w:t>
            </w:r>
          </w:p>
        </w:tc>
      </w:tr>
      <w:tr>
        <w:trPr/>
        <w:tc>
          <w:tcPr>
            <w:tcW w:w="3710" w:type="dxa"/>
            <w:tcBorders>
              <w:bottom w:val="single" w:sz="12" w:space="0" w:color="000000"/>
            </w:tcBorders>
            <w:tcMar>
              <w:bottom w:w="28" w:type="dxa"/>
            </w:tcMar>
            <w:vAlign w:val="center"/>
          </w:tcPr>
          <w:p>
            <w:pPr>
              <w:pStyle w:val="TableContents"/>
              <w:bidi w:val="0"/>
              <w:spacing w:before="0" w:after="283"/>
              <w:jc w:val="left"/>
              <w:rPr/>
            </w:pPr>
            <w:r>
              <w:rPr/>
              <w:t>(in thousands, except percentage data)</w:t>
            </w:r>
          </w:p>
        </w:tc>
        <w:tc>
          <w:tcPr>
            <w:tcW w:w="60" w:type="dxa"/>
            <w:tcBorders/>
            <w:vAlign w:val="center"/>
          </w:tcPr>
          <w:p>
            <w:pPr>
              <w:pStyle w:val="TableContents"/>
              <w:bidi w:val="0"/>
              <w:spacing w:before="0" w:after="283"/>
              <w:jc w:val="left"/>
              <w:rPr/>
            </w:pPr>
            <w:r>
              <w:rPr/>
              <w:t> </w:t>
            </w:r>
          </w:p>
        </w:tc>
        <w:tc>
          <w:tcPr>
            <w:tcW w:w="2015" w:type="dxa"/>
            <w:gridSpan w:val="6"/>
            <w:tcBorders>
              <w:bottom w:val="single" w:sz="12" w:space="0" w:color="000000"/>
            </w:tcBorders>
            <w:tcMar>
              <w:bottom w:w="28" w:type="dxa"/>
            </w:tcMar>
            <w:vAlign w:val="center"/>
          </w:tcPr>
          <w:p>
            <w:pPr>
              <w:pStyle w:val="TableContents"/>
              <w:bidi w:val="0"/>
              <w:spacing w:before="0" w:after="283"/>
              <w:jc w:val="center"/>
              <w:rPr/>
            </w:pPr>
            <w:r>
              <w:rPr/>
              <w:t>2023</w:t>
            </w:r>
          </w:p>
        </w:tc>
        <w:tc>
          <w:tcPr>
            <w:tcW w:w="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5" w:type="dxa"/>
            <w:gridSpan w:val="6"/>
            <w:tcBorders>
              <w:bottom w:val="single" w:sz="12" w:space="0" w:color="000000"/>
            </w:tcBorders>
            <w:tcMar>
              <w:bottom w:w="28" w:type="dxa"/>
            </w:tcMar>
            <w:vAlign w:val="center"/>
          </w:tcPr>
          <w:p>
            <w:pPr>
              <w:pStyle w:val="TableContents"/>
              <w:bidi w:val="0"/>
              <w:spacing w:before="0" w:after="283"/>
              <w:jc w:val="center"/>
              <w:rPr/>
            </w:pPr>
            <w:r>
              <w:rPr/>
              <w:t>2022</w:t>
            </w:r>
          </w:p>
        </w:tc>
        <w:tc>
          <w:tcPr>
            <w:tcW w:w="30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13,002,910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13,731,530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305"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Cost of revenues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5,569,621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42.8</w:t>
            </w:r>
          </w:p>
        </w:tc>
        <w:tc>
          <w:tcPr>
            <w:tcW w:w="29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5,629,858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41.0</w:t>
            </w:r>
          </w:p>
        </w:tc>
        <w:tc>
          <w:tcPr>
            <w:tcW w:w="305" w:type="dxa"/>
            <w:tcBorders/>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7,433,289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57.2</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8,101,672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59.0</w:t>
            </w:r>
          </w:p>
        </w:tc>
        <w:tc>
          <w:tcPr>
            <w:tcW w:w="305"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14,496,475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111.5</w:t>
            </w:r>
          </w:p>
        </w:tc>
        <w:tc>
          <w:tcPr>
            <w:tcW w:w="29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11,862,773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86.4</w:t>
            </w:r>
          </w:p>
        </w:tc>
        <w:tc>
          <w:tcPr>
            <w:tcW w:w="305" w:type="dxa"/>
            <w:tcBorders/>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(7,063,186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(54.3</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(3,761,101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(27.4</w:t>
            </w:r>
          </w:p>
        </w:tc>
        <w:tc>
          <w:tcPr>
            <w:tcW w:w="305"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Other income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665,472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5.1</w:t>
            </w:r>
          </w:p>
        </w:tc>
        <w:tc>
          <w:tcPr>
            <w:tcW w:w="29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305" w:type="dxa"/>
            <w:tcBorders/>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(6,397,714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(49.2</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(3,761,098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(27.4</w:t>
            </w:r>
          </w:p>
        </w:tc>
        <w:tc>
          <w:tcPr>
            <w:tcW w:w="305" w:type="dxa"/>
            <w:tcBorders/>
            <w:shd w:fill="CCEEFF" w:val="clear"/>
            <w:vAlign w:val="center"/>
          </w:tcPr>
          <w:p>
            <w:pPr>
              <w:pStyle w:val="TableContents"/>
              <w:bidi w:val="0"/>
              <w:spacing w:before="0" w:after="283"/>
              <w:jc w:val="left"/>
              <w:rPr/>
            </w:pPr>
            <w:r>
              <w:rPr/>
              <w:t>)%</w:t>
            </w:r>
          </w:p>
        </w:tc>
      </w:tr>
      <w:tr>
        <w:trPr/>
        <w:tc>
          <w:tcPr>
            <w:tcW w:w="3710" w:type="dxa"/>
            <w:tcBorders/>
            <w:vAlign w:val="center"/>
          </w:tcPr>
          <w:p>
            <w:pPr>
              <w:pStyle w:val="TableContents"/>
              <w:bidi w:val="0"/>
              <w:spacing w:before="0" w:after="283"/>
              <w:jc w:val="left"/>
              <w:rPr/>
            </w:pPr>
            <w:r>
              <w:rPr/>
              <w:t>Income tax benefit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305" w:type="dxa"/>
            <w:tcBorders/>
            <w:vAlign w:val="center"/>
          </w:tcPr>
          <w:p>
            <w:pPr>
              <w:pStyle w:val="TableContents"/>
              <w:bidi w:val="0"/>
              <w:spacing w:before="0" w:after="283"/>
              <w:jc w:val="left"/>
              <w:rPr/>
            </w:pPr>
            <w:r>
              <w:rPr/>
              <w:t>%</w:t>
            </w:r>
          </w:p>
        </w:tc>
      </w:tr>
      <w:tr>
        <w:trPr/>
        <w:tc>
          <w:tcPr>
            <w:tcW w:w="37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(6,397,714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(49.2</w:t>
            </w:r>
          </w:p>
        </w:tc>
        <w:tc>
          <w:tcPr>
            <w:tcW w:w="29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(3,761,098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(27.4</w:t>
            </w:r>
          </w:p>
        </w:tc>
        <w:tc>
          <w:tcPr>
            <w:tcW w:w="305"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55"/>
        <w:gridCol w:w="7730"/>
      </w:tblGrid>
      <w:tr>
        <w:trPr/>
        <w:tc>
          <w:tcPr>
            <w:tcW w:w="15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pPr>
            <w:r>
              <w:rPr/>
              <w:t>Balances and percentage of net revenue information may not add due to rounding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reported for the three months ended March 31, 2023 was approximately $13.0 million, a decrease of 5% over the approximately $13.7 million from the same period in 2022. The decrease in revenue was primarily driven by the macroeconomic pressures affecting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composed primarily of revenue share expense paid to our network partners, remained relatively consistent at $5.6 million for the three months ended March 31, 2023 compared to the same period of 2022. Our cost of revenues as a percentage of revenue increased to approximately 42.8% for the quarter ended March 31, 2023 from approximately 41.0% for the quarter ended March 31, 2022. This increase in cost of revenue as a percentage of revenue was a result of solution and channel mix. Additional discussion is included in the gross margin section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margin, which is the difference between our revenues and our cost of revenues, decreased for the three months ended March 31, 2023, as a result of solution and channel mix. During the three months ended March 31, 2023, there was a decrease in the percentage of activity flowing through our lower cost channels compared with a year ago.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to approximately $14.5 million for the three months ended March 31, 2023 from approximately $11.9 million for the same period in 2022, an increase of approximately 22%. The detail by major category is reflected in the table below.</w:t>
      </w:r>
    </w:p>
    <w:p>
      <w:pPr>
        <w:pStyle w:val="TextBody"/>
        <w:bidi w:val="0"/>
        <w:spacing w:before="0" w:after="0"/>
        <w:ind w:left="0" w:right="0" w:hanging="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5135"/>
        <w:gridCol w:w="60"/>
        <w:gridCol w:w="140"/>
        <w:gridCol w:w="1100"/>
        <w:gridCol w:w="60"/>
        <w:gridCol w:w="60"/>
        <w:gridCol w:w="140"/>
        <w:gridCol w:w="1100"/>
        <w:gridCol w:w="75"/>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March 31,</w:t>
            </w:r>
          </w:p>
        </w:tc>
        <w:tc>
          <w:tcPr>
            <w:tcW w:w="7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4,380,503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3,174,098</w:t>
            </w:r>
          </w:p>
        </w:tc>
        <w:tc>
          <w:tcPr>
            <w:tcW w:w="75" w:type="dxa"/>
            <w:tcBorders/>
            <w:shd w:fill="CCEEFF"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Depreciation, amortization and noncash lease expense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463,933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471,540</w:t>
            </w:r>
          </w:p>
        </w:tc>
        <w:tc>
          <w:tcPr>
            <w:tcW w:w="75"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Other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9,652,039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8,217,135</w:t>
            </w:r>
          </w:p>
        </w:tc>
        <w:tc>
          <w:tcPr>
            <w:tcW w:w="75" w:type="dxa"/>
            <w:tcBorders/>
            <w:shd w:fill="CCEEFF" w:val="cle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283"/>
              <w:jc w:val="left"/>
              <w:rPr/>
            </w:pPr>
            <w:r>
              <w:rPr/>
              <w:t>Total operating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14,496,475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11,862,773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greatest increase was in stock-based compensation, a non-cash expense. Stock-based compensation is awarded to all full-time employees upon their start of employment as well as to directors, officers and certain key employees to provide an equity-based incentive to maintain and enhance the performance and profitability of the Company. Other general and administrative expenses increased by $1.4 million over the same period prior year, mostly as a result of an increase in headcount as well as other investments to support our growth initiatives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net loss of approximately $6.4 million for the three months ended March 31, 2023, as compared to a net loss of approximately $3.8 million during the same period in 2022. The reasons and specific components associated with the change are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primary sources of liquidity have been cash receipts from customers and proceeds from equity offerings. As of March 31, 2023, we had total current assets of approximately $95.9 million, compared with current liabilities of approximately $7.6 million, resulting in working capital of approximately $88.3 million and a current ratio of approximately 13 to 1 at March 31, 2023. This decrease in our working capital, as discussed in more detail below, is primarily the result of the timing of prepaid services and investment in our reporting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table with summary data from the consolidated statements of cash flows for the three months ended March 31, 2023 and 2022, as presented.</w:t>
      </w:r>
    </w:p>
    <w:p>
      <w:pPr>
        <w:pStyle w:val="TextBody"/>
        <w:bidi w:val="0"/>
        <w:spacing w:before="0" w:after="0"/>
        <w:ind w:left="0" w:right="0" w:hanging="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5075"/>
        <w:gridCol w:w="60"/>
        <w:gridCol w:w="60"/>
        <w:gridCol w:w="1055"/>
        <w:gridCol w:w="95"/>
        <w:gridCol w:w="60"/>
        <w:gridCol w:w="60"/>
        <w:gridCol w:w="980"/>
        <w:gridCol w:w="110"/>
      </w:tblGrid>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12" w:space="0" w:color="000000"/>
            </w:tcBorders>
            <w:tcMar>
              <w:bottom w:w="28" w:type="dxa"/>
            </w:tcMar>
            <w:vAlign w:val="center"/>
          </w:tcPr>
          <w:p>
            <w:pPr>
              <w:pStyle w:val="TableContents"/>
              <w:bidi w:val="0"/>
              <w:spacing w:before="0" w:after="283"/>
              <w:jc w:val="center"/>
              <w:rPr/>
            </w:pPr>
            <w:r>
              <w:rPr/>
              <w:t>Three Months Ended</w:t>
              <w:br/>
              <w:t>March 31,</w:t>
            </w:r>
          </w:p>
        </w:tc>
        <w:tc>
          <w:tcPr>
            <w:tcW w:w="110" w:type="dxa"/>
            <w:tcBorders/>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pPr>
            <w:r>
              <w:rPr/>
              <w:t>2022</w:t>
            </w:r>
          </w:p>
        </w:tc>
        <w:tc>
          <w:tcPr>
            <w:tcW w:w="110" w:type="dxa"/>
            <w:tcBorders/>
            <w:vAlign w:val="center"/>
          </w:tcPr>
          <w:p>
            <w:pPr>
              <w:pStyle w:val="TableContents"/>
              <w:bidi w:val="0"/>
              <w:spacing w:before="0" w:after="283"/>
              <w:jc w:val="left"/>
              <w:rPr/>
            </w:pPr>
            <w:r>
              <w:rPr/>
              <w:t> </w:t>
            </w:r>
          </w:p>
        </w:tc>
      </w:tr>
      <w:tr>
        <w:trPr/>
        <w:tc>
          <w:tcPr>
            <w:tcW w:w="5075" w:type="dxa"/>
            <w:tcBorders/>
            <w:shd w:fill="CCEEFF" w:val="clear"/>
            <w:vAlign w:val="center"/>
          </w:tcPr>
          <w:p>
            <w:pPr>
              <w:pStyle w:val="TableContents"/>
              <w:bidi w:val="0"/>
              <w:spacing w:before="0" w:after="283"/>
              <w:jc w:val="left"/>
              <w:rPr/>
            </w:pPr>
            <w:r>
              <w:rPr/>
              <w:t>Net cash (used in) /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4,080,244</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Net cash used in investing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(1,548,894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(65,751</w:t>
            </w:r>
          </w:p>
        </w:tc>
        <w:tc>
          <w:tcPr>
            <w:tcW w:w="110" w:type="dxa"/>
            <w:tcBorders/>
            <w:vAlign w:val="center"/>
          </w:tcPr>
          <w:p>
            <w:pPr>
              <w:pStyle w:val="TableContents"/>
              <w:bidi w:val="0"/>
              <w:spacing w:before="0" w:after="283"/>
              <w:jc w:val="left"/>
              <w:rPr/>
            </w:pPr>
            <w:r>
              <w:rPr/>
              <w:t>)</w:t>
            </w:r>
          </w:p>
        </w:tc>
      </w:tr>
      <w:tr>
        <w:trPr/>
        <w:tc>
          <w:tcPr>
            <w:tcW w:w="5075" w:type="dxa"/>
            <w:tcBorders/>
            <w:shd w:fill="CCEEFF" w:val="clear"/>
            <w:vAlign w:val="center"/>
          </w:tcPr>
          <w:p>
            <w:pPr>
              <w:pStyle w:val="TableContents"/>
              <w:bidi w:val="0"/>
              <w:spacing w:before="0" w:after="283"/>
              <w:jc w:val="left"/>
              <w:rPr/>
            </w:pPr>
            <w:r>
              <w:rPr/>
              <w:t>Net cash (used in) /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(129,794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258,128</w:t>
            </w:r>
          </w:p>
        </w:tc>
        <w:tc>
          <w:tcPr>
            <w:tcW w:w="110" w:type="dxa"/>
            <w:tcBorders/>
            <w:shd w:fill="CCEEFF" w:val="clear"/>
            <w:vAlign w:val="center"/>
          </w:tcPr>
          <w:p>
            <w:pPr>
              <w:pStyle w:val="TableContents"/>
              <w:bidi w:val="0"/>
              <w:spacing w:before="0" w:after="283"/>
              <w:jc w:val="left"/>
              <w:rPr/>
            </w:pPr>
            <w:r>
              <w:rPr/>
              <w:t> </w:t>
            </w:r>
          </w:p>
        </w:tc>
      </w:tr>
      <w:tr>
        <w:trPr/>
        <w:tc>
          <w:tcPr>
            <w:tcW w:w="5075" w:type="dxa"/>
            <w:tcBorders/>
            <w:vAlign w:val="center"/>
          </w:tcPr>
          <w:p>
            <w:pPr>
              <w:pStyle w:val="TableContents"/>
              <w:bidi w:val="0"/>
              <w:spacing w:before="0" w:after="283"/>
              <w:jc w:val="left"/>
              <w:rPr/>
            </w:pPr>
            <w:r>
              <w:rPr/>
              <w:t>Net (decrease) / increase in cash and cash equivalents</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(1,765,018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4,272,621</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used approximately $0.1 million for operating activities during the three months ended March 31, 2023, compared with $4.1 million provided by operating activities in the same period in 2022. We had a net loss of $6.4 million for the first quarter of 2023, but noncash expenses of $5.0 million and working capital generated by the collection of receivables offset the loss. Additionally, there were differences in the timing of prepaid services that affected the first quarter change in working capital year over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was approximately $1.5 million for the three months ended March 31, 2023. We purchased $56.9 million in treasury bills with maturity dates in 2023. This allowed the Company to earn a higher rate of interest on excess cash for the period. These purchases were partially offset by the redemption of $55.6 million in treasury bills.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for financing activities was approximately $0.1 million related to the payment of withholding taxes on behalf of the employees for the vesting of restricted stock units during the three months ended March 31, 2023. This value represents the stock units surrendered and cancelled. This cost was partially offset by proceeds received as a result of option exercises during the period. We had proceeds from financing activities of approximately $0.3 million related to the exercise of stock options during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funds generated from operations, together with existing cash, will be sufficient to finance our current operations and planned growth for the next twelve (12) months. In addition, we believe we can generate the cash needed to operate beyond the next 12 months from operations. However, we may seek additional debt or equity financing to supplement cash from operations to fund acquisitions or strategic partner relationships, make capital expenditures, and satisfy working capital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2 to the Consolidated Financial Statements in the Annual Report on Form 10-K for the year ended December 31, 2022 (2022 Annual Report on Form 10-K). The accounting policies we used in preparing these financial statements are substantially consistent with those we applied in our 2022 Annual Report on Form 10-K. Our critical accounting estimates are described in Management’s Discussion and Analysis included in the 2022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Topic 2021-08 </w:t>
      </w:r>
      <w:r>
        <w:rPr>
          <w:rFonts w:ascii="Times New Roman;Times;Serif" w:hAnsi="Times New Roman;Times;Serif"/>
          <w:b w:val="false"/>
          <w:i/>
          <w:caps w:val="false"/>
          <w:smallCaps w:val="false"/>
          <w:sz w:val="20"/>
        </w:rPr>
        <w:t>Business Combinations (Topic 805), Accounting for Contract Assets and Contract Liabilities from Contracts with Customers</w:t>
      </w:r>
      <w:r>
        <w:rPr>
          <w:rFonts w:ascii="Times New Roman;Times;Serif" w:hAnsi="Times New Roman;Times;Serif"/>
          <w:b w:val="false"/>
          <w:i w:val="false"/>
          <w:caps w:val="false"/>
          <w:smallCaps w:val="false"/>
          <w:sz w:val="20"/>
        </w:rPr>
        <w:t>, requires contract assets and contract liabilities acquired in a business combination to be recognized and measured by the acquirer on the acquisition date in accordance with ASC 606</w:t>
      </w:r>
      <w:r>
        <w:rPr>
          <w:rFonts w:ascii="Times New Roman;Times;Serif" w:hAnsi="Times New Roman;Times;Serif"/>
          <w:b w:val="false"/>
          <w:i/>
          <w:caps w:val="false"/>
          <w:smallCaps w:val="false"/>
          <w:sz w:val="20"/>
        </w:rPr>
        <w:t>, Revenue from Contracts with Customers</w:t>
      </w:r>
      <w:r>
        <w:rPr>
          <w:rFonts w:ascii="Times New Roman;Times;Serif" w:hAnsi="Times New Roman;Times;Serif"/>
          <w:b w:val="false"/>
          <w:i w:val="false"/>
          <w:caps w:val="false"/>
          <w:smallCaps w:val="false"/>
          <w:sz w:val="20"/>
        </w:rPr>
        <w:t>, as if it had originated the contracts. The standard was effective for the Company’s fiscal year beginning January 1, 2023. The adoption of this standard did not have a material effect on our financial position,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 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contracts with various electronic health records systems and ePrescribe platforms, whereby we agree to share a portion of the revenue we generate for eCoupons or banners through their network. From time to time the Company enters into arrangements with a partner to acquire minimum amounts of messaging capabilities. As of March 31, 2023, the Company had commitments for future minimum payments of $14.9 million that will be reflected in cost of revenues during the years 2023 through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concluded that, as of the end of the period covered by this report, our disclosure controls and procedures, as defined in Rule 13a-15(e), were not effective at the reasonable assurance level due to a material weakness in our internal controls over financial reporting which was disclosed in our Annual Report on Form 10-K for the year ended 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 material weakness referenced above, the Company performed additional analysis and performed other procedures in order to prepare the consolidated financial statements in accordance with generally accepted accounting principles (GAAP). Accordingly, management believes that the consolidated financial statements included in this quarterly report on this Form 10-Q fairly present, in all material respects, our financial condition, results of operations and cash flows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Plan for Remediation of Material Weakness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actively engaged in the planning for, and implementation of, remediation efforts to address the material weakness identified above. Management intends to implement the following remediation steps: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The Company will require each third-party service organization to provide a SOC-1, Type 2 report to us.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If a SOC-1, Type 2 report is not available, the Company will evaluate each third-party’s relevant system(s) and reporting directly through inquiry and substantive testing of such third-party’s control environment.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2023, the Company met with the third-party service organizations to discuss the reporting requirements. As management continues to evaluate and improve our disclosure controls and procedures and internal control over financial reporting, the Company may decide to take additional measures to address control deficiencies or determine to modify, or in appropriate circumstances not to complete, certain of the remediation measures identified.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noted above, there was no change in our internal control over financial reporting (as defined in Rule 13a-15(f) under the Exchange Act), that occurred during the quarter ended March 31, 2023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the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 party to any material pending legal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our risk factors from the risks previously reported in PART 1, ITEM 1A, “Risk Factors” of our Annual Report on Form 10-K for the year ended December 31, 2022. You should carefully consider the factors discussed in PART I, ITEM 1A, “Risk Factors” in our Annual Report on Form 10-K for the year ended December 31, 2022,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2023, the Company announced that its Board of Directors has authorized the repurchase of up to $15 million of the Company’s outstanding common stock. Under this new program, share repurchases may be made from time to time depending on market conditions, share price and availability and other factors at the Company’s discretion. This stock repurchase authorization expires on the earlier of March 12, 2024, or when the repurchase of $15 million of shares of its common stock has been 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repurchase of shares will take place in open market transactions or privately negotiated transactions in accordance with applicable securities and other laws, including the Exchange Act. The Company intends to finance the purchase using its available cash and cash equivalents. The Board may modify, suspend, extend or terminate the repurchase program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shares repurchased by the Company during the quarter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00"/>
        <w:gridCol w:w="60"/>
        <w:gridCol w:w="8745"/>
      </w:tblGrid>
      <w:tr>
        <w:trPr/>
        <w:tc>
          <w:tcPr>
            <w:tcW w:w="1400" w:type="dxa"/>
            <w:tcBorders>
              <w:bottom w:val="single" w:sz="12"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745"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45" w:type="dxa"/>
            <w:tcBorders/>
            <w:shd w:fill="CCEEFF" w:val="clear"/>
            <w:tcMar>
              <w:bottom w:w="0" w:type="dxa"/>
            </w:tcMar>
            <w:vAlign w:val="center"/>
          </w:tcPr>
          <w:p>
            <w:pPr>
              <w:pStyle w:val="TableContents"/>
              <w:bidi w:val="0"/>
              <w:spacing w:before="0" w:after="283"/>
              <w:jc w:val="both"/>
              <w:rPr/>
            </w:pPr>
            <w:hyperlink r:id="rId2">
              <w:r>
                <w:rPr>
                  <w:rStyle w:val="InternetLink"/>
                  <w:sz w:val="20"/>
                </w:rPr>
                <w:t>Third Amended and Restated Bylaws of the Company. Incorporated by reference to Exhibit 3.3 to the Company’s Annual Report on Form 10-K for the year ended December 31, 2022.</w:t>
              </w:r>
            </w:hyperlink>
          </w:p>
        </w:tc>
      </w:tr>
      <w:tr>
        <w:trPr/>
        <w:tc>
          <w:tcPr>
            <w:tcW w:w="1400" w:type="dxa"/>
            <w:tcBorders/>
            <w:tcMar>
              <w:bottom w:w="0" w:type="dxa"/>
            </w:tcMar>
            <w:vAlign w:val="center"/>
          </w:tcPr>
          <w:p>
            <w:pPr>
              <w:pStyle w:val="TableContents"/>
              <w:bidi w:val="0"/>
              <w:spacing w:before="0" w:after="283"/>
              <w:jc w:val="left"/>
              <w:rPr>
                <w:sz w:val="20"/>
              </w:rPr>
            </w:pPr>
            <w:r>
              <w:rPr>
                <w:sz w:val="20"/>
              </w:rPr>
              <w:t>10.1</w:t>
            </w:r>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both"/>
              <w:rPr/>
            </w:pPr>
            <w:hyperlink r:id="rId3">
              <w:r>
                <w:rPr>
                  <w:rStyle w:val="InternetLink"/>
                  <w:sz w:val="20"/>
                </w:rPr>
                <w:t>OptimizeRx Corporation Executive Severance Plan. Incorporated by reference to Exhibit 10.18 to the Company’s Annual Report on Form 10-K for the year ended December 31, 2022.</w:t>
              </w:r>
            </w:hyperlink>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45" w:type="dxa"/>
            <w:tcBorders/>
            <w:shd w:fill="CCEEFF" w:val="clear"/>
            <w:tcMar>
              <w:bottom w:w="0" w:type="dxa"/>
            </w:tcMar>
            <w:vAlign w:val="center"/>
          </w:tcPr>
          <w:p>
            <w:pPr>
              <w:pStyle w:val="TableContents"/>
              <w:bidi w:val="0"/>
              <w:spacing w:before="0" w:after="283"/>
              <w:jc w:val="both"/>
              <w:rPr/>
            </w:pPr>
            <w:hyperlink r:id="rId4">
              <w:r>
                <w:rPr>
                  <w:rStyle w:val="InternetLink"/>
                  <w:sz w:val="20"/>
                </w:rPr>
                <w:t xml:space="preserve">Fourth Addendum to the Employment Agreement with William J. Febbo. Incorporated by reference to Exhibit 10.19 to the Company’s Annual Report on Form 10-K for the year ended December 31, 2022. </w:t>
              </w:r>
            </w:hyperlink>
          </w:p>
        </w:tc>
      </w:tr>
      <w:tr>
        <w:trPr/>
        <w:tc>
          <w:tcPr>
            <w:tcW w:w="1400" w:type="dxa"/>
            <w:tcBorders/>
            <w:tcMar>
              <w:bottom w:w="0" w:type="dxa"/>
            </w:tcMar>
            <w:vAlign w:val="center"/>
          </w:tcPr>
          <w:p>
            <w:pPr>
              <w:pStyle w:val="TableContents"/>
              <w:bidi w:val="0"/>
              <w:spacing w:before="0" w:after="283"/>
              <w:jc w:val="left"/>
              <w:rPr>
                <w:sz w:val="20"/>
              </w:rPr>
            </w:pPr>
            <w:r>
              <w:rPr>
                <w:sz w:val="20"/>
              </w:rPr>
              <w:t>31.1**</w:t>
            </w:r>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both"/>
              <w:rPr/>
            </w:pPr>
            <w:hyperlink w:anchor="f10q0323ex31-1_optimizerx.htm">
              <w:r>
                <w:rPr>
                  <w:rStyle w:val="InternetLink"/>
                  <w:sz w:val="20"/>
                </w:rPr>
                <w:t>Certification of Chief Executive Officer pursuant to 18 U.S.C. Section 1350, as adopted pursuant to Section 302 of the Sarbanes-Oxley Act of 2002</w:t>
              </w:r>
            </w:hyperlink>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45" w:type="dxa"/>
            <w:tcBorders/>
            <w:shd w:fill="CCEEFF" w:val="clear"/>
            <w:tcMar>
              <w:bottom w:w="0" w:type="dxa"/>
            </w:tcMar>
            <w:vAlign w:val="center"/>
          </w:tcPr>
          <w:p>
            <w:pPr>
              <w:pStyle w:val="TableContents"/>
              <w:bidi w:val="0"/>
              <w:spacing w:before="0" w:after="283"/>
              <w:jc w:val="both"/>
              <w:rPr/>
            </w:pPr>
            <w:hyperlink w:anchor="f10q0323ex31-2_optimizerx.htm">
              <w:r>
                <w:rPr>
                  <w:rStyle w:val="InternetLink"/>
                  <w:sz w:val="20"/>
                </w:rPr>
                <w:t>Certification of Chief Financial Officer pursuant to 18 U.S.C. Section 1350, as adopted pursuant to Section 302 of the Sarbanes-Oxley Act of 2002</w:t>
              </w:r>
            </w:hyperlink>
          </w:p>
        </w:tc>
      </w:tr>
      <w:tr>
        <w:trPr/>
        <w:tc>
          <w:tcPr>
            <w:tcW w:w="1400" w:type="dxa"/>
            <w:tcBorders/>
            <w:tcMar>
              <w:bottom w:w="0" w:type="dxa"/>
            </w:tcMar>
            <w:vAlign w:val="center"/>
          </w:tcPr>
          <w:p>
            <w:pPr>
              <w:pStyle w:val="TableContents"/>
              <w:bidi w:val="0"/>
              <w:spacing w:before="0" w:after="283"/>
              <w:jc w:val="left"/>
              <w:rPr>
                <w:sz w:val="20"/>
              </w:rPr>
            </w:pPr>
            <w:r>
              <w:rPr>
                <w:sz w:val="20"/>
              </w:rPr>
              <w:t>32.1**</w:t>
            </w:r>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both"/>
              <w:rPr/>
            </w:pPr>
            <w:hyperlink w:anchor="f10q0323ex32-1_optimizerx.htm">
              <w:r>
                <w:rPr>
                  <w:rStyle w:val="InternetLink"/>
                  <w:sz w:val="20"/>
                </w:rPr>
                <w:t>Certification of Chief Executive Officer and Chief Financial Officer pursuant to 18 U.S.C. Section 1350, as adopted pursuant to Section 906 of the Sarbanes-Oxley Act of 2002</w:t>
              </w:r>
            </w:hyperlink>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45" w:type="dxa"/>
            <w:tcBorders/>
            <w:shd w:fill="CCEEFF" w:val="clear"/>
            <w:tcMar>
              <w:bottom w:w="0" w:type="dxa"/>
            </w:tcMar>
            <w:vAlign w:val="center"/>
          </w:tcPr>
          <w:p>
            <w:pPr>
              <w:pStyle w:val="TableContents"/>
              <w:bidi w:val="0"/>
              <w:spacing w:before="0" w:after="283"/>
              <w:jc w:val="left"/>
              <w:rPr>
                <w:sz w:val="20"/>
              </w:rPr>
            </w:pPr>
            <w:r>
              <w:rPr>
                <w:sz w:val="20"/>
              </w:rPr>
              <w:t>Inline XBRL Instance Document</w:t>
            </w:r>
          </w:p>
        </w:tc>
      </w:tr>
      <w:tr>
        <w:trPr/>
        <w:tc>
          <w:tcPr>
            <w:tcW w:w="1400" w:type="dxa"/>
            <w:tcBorders/>
            <w:tcMar>
              <w:bottom w:w="0" w:type="dxa"/>
            </w:tcMar>
            <w:vAlign w:val="center"/>
          </w:tcPr>
          <w:p>
            <w:pPr>
              <w:pStyle w:val="TableContents"/>
              <w:bidi w:val="0"/>
              <w:spacing w:before="0" w:after="283"/>
              <w:jc w:val="left"/>
              <w:rPr>
                <w:sz w:val="20"/>
              </w:rPr>
            </w:pPr>
            <w:r>
              <w:rPr>
                <w:sz w:val="20"/>
              </w:rPr>
              <w:t>101.SCH</w:t>
            </w:r>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left"/>
              <w:rPr>
                <w:sz w:val="20"/>
              </w:rPr>
            </w:pPr>
            <w:r>
              <w:rPr>
                <w:sz w:val="20"/>
              </w:rPr>
              <w:t>Inline XBRL Taxonomy Extension Schema Document</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45" w:type="dxa"/>
            <w:tcBorders/>
            <w:shd w:fill="CCEEFF" w:val="clear"/>
            <w:tcMar>
              <w:bottom w:w="0" w:type="dxa"/>
            </w:tcMar>
            <w:vAlign w:val="center"/>
          </w:tcPr>
          <w:p>
            <w:pPr>
              <w:pStyle w:val="TableContents"/>
              <w:bidi w:val="0"/>
              <w:spacing w:before="0" w:after="283"/>
              <w:jc w:val="left"/>
              <w:rPr>
                <w:sz w:val="20"/>
              </w:rPr>
            </w:pPr>
            <w:r>
              <w:rPr>
                <w:sz w:val="20"/>
              </w:rPr>
              <w:t>Inline XBRL Taxonomy Extension Calculation Linkbase Document</w:t>
            </w:r>
          </w:p>
        </w:tc>
      </w:tr>
      <w:tr>
        <w:trPr/>
        <w:tc>
          <w:tcPr>
            <w:tcW w:w="1400" w:type="dxa"/>
            <w:tcBorders/>
            <w:tcMar>
              <w:bottom w:w="0" w:type="dxa"/>
            </w:tcMar>
            <w:vAlign w:val="center"/>
          </w:tcPr>
          <w:p>
            <w:pPr>
              <w:pStyle w:val="TableContents"/>
              <w:bidi w:val="0"/>
              <w:spacing w:before="0" w:after="283"/>
              <w:jc w:val="left"/>
              <w:rPr>
                <w:sz w:val="20"/>
              </w:rPr>
            </w:pPr>
            <w:r>
              <w:rPr>
                <w:sz w:val="20"/>
              </w:rPr>
              <w:t>101.DEF</w:t>
            </w:r>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left"/>
              <w:rPr>
                <w:sz w:val="20"/>
              </w:rPr>
            </w:pPr>
            <w:r>
              <w:rPr>
                <w:sz w:val="20"/>
              </w:rPr>
              <w:t>Inline XBRL Taxonomy Extension Definition Linkbase Document</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45" w:type="dxa"/>
            <w:tcBorders/>
            <w:shd w:fill="CCEEFF" w:val="clear"/>
            <w:tcMar>
              <w:bottom w:w="0" w:type="dxa"/>
            </w:tcMar>
            <w:vAlign w:val="center"/>
          </w:tcPr>
          <w:p>
            <w:pPr>
              <w:pStyle w:val="TableContents"/>
              <w:bidi w:val="0"/>
              <w:spacing w:before="0" w:after="283"/>
              <w:jc w:val="left"/>
              <w:rPr>
                <w:sz w:val="20"/>
              </w:rPr>
            </w:pPr>
            <w:r>
              <w:rPr>
                <w:sz w:val="20"/>
              </w:rPr>
              <w:t>Inline XBRL Taxonomy Extension Label Linkbase Document</w:t>
            </w:r>
          </w:p>
        </w:tc>
      </w:tr>
      <w:tr>
        <w:trPr/>
        <w:tc>
          <w:tcPr>
            <w:tcW w:w="1400"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8745" w:type="dxa"/>
            <w:tcBorders/>
            <w:tcMar>
              <w:bottom w:w="0" w:type="dxa"/>
            </w:tcMar>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283"/>
              <w:jc w:val="left"/>
              <w:rPr/>
            </w:pPr>
            <w:r>
              <w:rPr/>
              <w:t>**</w:t>
            </w:r>
          </w:p>
        </w:tc>
        <w:tc>
          <w:tcPr>
            <w:tcW w:w="1835" w:type="dxa"/>
            <w:tcBorders/>
            <w:vAlign w:val="center"/>
          </w:tcPr>
          <w:p>
            <w:pPr>
              <w:pStyle w:val="TableContents"/>
              <w:bidi w:val="0"/>
              <w:spacing w:before="0" w:after="283"/>
              <w:jc w:val="both"/>
              <w:rPr/>
            </w:pPr>
            <w:r>
              <w:rPr/>
              <w:t>Provided herewith.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835" w:type="dxa"/>
        <w:jc w:val="left"/>
        <w:tblInd w:w="0" w:type="dxa"/>
        <w:tblLayout w:type="fixed"/>
        <w:tblCellMar>
          <w:top w:w="0" w:type="dxa"/>
          <w:left w:w="0" w:type="dxa"/>
          <w:bottom w:w="0" w:type="dxa"/>
          <w:right w:w="0" w:type="dxa"/>
        </w:tblCellMar>
      </w:tblPr>
      <w:tblGrid>
        <w:gridCol w:w="1655"/>
        <w:gridCol w:w="515"/>
        <w:gridCol w:w="3665"/>
      </w:tblGrid>
      <w:tr>
        <w:trPr/>
        <w:tc>
          <w:tcPr>
            <w:tcW w:w="1655" w:type="dxa"/>
            <w:tcBorders/>
            <w:vAlign w:val="center"/>
          </w:tcPr>
          <w:p>
            <w:pPr>
              <w:pStyle w:val="TableContents"/>
              <w:bidi w:val="0"/>
              <w:spacing w:before="0" w:after="283"/>
              <w:jc w:val="left"/>
              <w:rPr>
                <w:sz w:val="4"/>
                <w:szCs w:val="4"/>
              </w:rPr>
            </w:pPr>
            <w:r>
              <w:rPr>
                <w:sz w:val="4"/>
                <w:szCs w:val="4"/>
              </w:rPr>
            </w:r>
          </w:p>
        </w:tc>
        <w:tc>
          <w:tcPr>
            <w:tcW w:w="4180" w:type="dxa"/>
            <w:gridSpan w:val="2"/>
            <w:tcBorders/>
            <w:vAlign w:val="center"/>
          </w:tcPr>
          <w:p>
            <w:pPr>
              <w:pStyle w:val="TableContents"/>
              <w:bidi w:val="0"/>
              <w:spacing w:before="0" w:after="283"/>
              <w:jc w:val="left"/>
              <w:rPr>
                <w:b/>
                <w:sz w:val="20"/>
              </w:rPr>
            </w:pPr>
            <w:r>
              <w:rPr>
                <w:b/>
                <w:sz w:val="20"/>
              </w:rPr>
              <w:t>OptimizeRx Corporation</w:t>
            </w:r>
          </w:p>
        </w:tc>
      </w:tr>
      <w:tr>
        <w:trPr/>
        <w:tc>
          <w:tcPr>
            <w:tcW w:w="1655"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May 12, 2023</w:t>
            </w:r>
          </w:p>
        </w:tc>
        <w:tc>
          <w:tcPr>
            <w:tcW w:w="51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20"/>
              </w:rPr>
            </w:pPr>
            <w:r>
              <w:rPr>
                <w:sz w:val="20"/>
              </w:rPr>
              <w:t>By:</w:t>
            </w:r>
          </w:p>
        </w:tc>
        <w:tc>
          <w:tcPr>
            <w:tcW w:w="366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William J. Febbo</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sz w:val="20"/>
              </w:rPr>
            </w:pPr>
            <w:r>
              <w:rPr>
                <w:sz w:val="20"/>
              </w:rPr>
              <w:t>William J. Febbo</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20"/>
              </w:rPr>
            </w:pPr>
            <w:r>
              <w:rPr>
                <w:sz w:val="20"/>
              </w:rPr>
              <w:t xml:space="preserve">Title: </w:t>
            </w:r>
          </w:p>
        </w:tc>
        <w:tc>
          <w:tcPr>
            <w:tcW w:w="366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executive officer)</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4180" w:type="dxa"/>
            <w:gridSpan w:val="2"/>
            <w:tcBorders/>
            <w:vAlign w:val="center"/>
          </w:tcPr>
          <w:p>
            <w:pPr>
              <w:pStyle w:val="TableContents"/>
              <w:bidi w:val="0"/>
              <w:spacing w:before="0" w:after="283"/>
              <w:jc w:val="left"/>
              <w:rPr>
                <w:b/>
                <w:sz w:val="20"/>
              </w:rPr>
            </w:pPr>
            <w:r>
              <w:rPr>
                <w:b/>
                <w:sz w:val="20"/>
              </w:rPr>
              <w:t>OptimizeRx Corporation</w:t>
            </w:r>
          </w:p>
        </w:tc>
      </w:tr>
      <w:tr>
        <w:trPr/>
        <w:tc>
          <w:tcPr>
            <w:tcW w:w="1655" w:type="dxa"/>
            <w:tcBorders/>
            <w:vAlign w:val="center"/>
          </w:tcPr>
          <w:p>
            <w:pPr>
              <w:pStyle w:val="TableContents"/>
              <w:bidi w:val="0"/>
              <w:spacing w:before="0" w:after="283"/>
              <w:jc w:val="left"/>
              <w:rPr>
                <w:sz w:val="20"/>
              </w:rPr>
            </w:pPr>
            <w:r>
              <w:rPr>
                <w:sz w:val="20"/>
              </w:rPr>
              <w:t>Date: May 12, 2023</w:t>
            </w:r>
          </w:p>
        </w:tc>
        <w:tc>
          <w:tcPr>
            <w:tcW w:w="51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20"/>
              </w:rPr>
            </w:pPr>
            <w:r>
              <w:rPr>
                <w:sz w:val="20"/>
              </w:rPr>
              <w:t>By:</w:t>
            </w:r>
          </w:p>
        </w:tc>
        <w:tc>
          <w:tcPr>
            <w:tcW w:w="366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left"/>
              <w:rPr>
                <w:sz w:val="20"/>
              </w:rPr>
            </w:pPr>
            <w:r>
              <w:rPr>
                <w:sz w:val="20"/>
              </w:rPr>
              <w:t>Edward Stelmakh</w:t>
            </w:r>
          </w:p>
        </w:tc>
      </w:tr>
      <w:tr>
        <w:trPr/>
        <w:tc>
          <w:tcPr>
            <w:tcW w:w="16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sz w:val="20"/>
              </w:rPr>
            </w:pPr>
            <w:r>
              <w:rPr>
                <w:sz w:val="20"/>
              </w:rPr>
              <w:t xml:space="preserve">Title: </w:t>
            </w:r>
          </w:p>
        </w:tc>
        <w:tc>
          <w:tcPr>
            <w:tcW w:w="366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Chief Financial Officer and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Operations Officer</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p>
      <w:pPr>
        <w:pStyle w:val="TextBody"/>
        <w:bidi w:val="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1" w:name="f10q0323ex31-1_optimizerx.htm"/>
      <w:bookmarkStart w:id="22" w:name="ksf10q0323ex311_optimizerx"/>
      <w:bookmarkEnd w:id="21"/>
      <w:bookmarkEnd w:id="22"/>
      <w:r>
        <w:rPr>
          <w:b/>
        </w:rPr>
        <w:t>Exhibit 31.1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180" w:right="0" w:hanging="18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William J. Febbo, certify that;</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both"/>
              <w:rPr/>
            </w:pPr>
            <w:r>
              <w:rPr/>
              <w:t>1.</w:t>
            </w:r>
          </w:p>
        </w:tc>
        <w:tc>
          <w:tcPr>
            <w:tcW w:w="10002" w:type="dxa"/>
            <w:tcBorders/>
            <w:vAlign w:val="center"/>
          </w:tcPr>
          <w:p>
            <w:pPr>
              <w:pStyle w:val="TableContents"/>
              <w:bidi w:val="0"/>
              <w:spacing w:before="0" w:after="283"/>
              <w:jc w:val="both"/>
              <w:rPr/>
            </w:pPr>
            <w:r>
              <w:rPr/>
              <w:t>I have reviewed this quarterly report on Form 10-Q for the quarter ended March 31, 2023 of OptimizeRx Corp (the “registrant”);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both"/>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both"/>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both"/>
              <w:rPr/>
            </w:pPr>
            <w:r>
              <w:rPr/>
              <w:t>4.</w:t>
            </w:r>
          </w:p>
        </w:tc>
        <w:tc>
          <w:tcPr>
            <w:tcW w:w="10032"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both"/>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2450"/>
        <w:gridCol w:w="75"/>
      </w:tblGrid>
      <w:tr>
        <w:trPr/>
        <w:tc>
          <w:tcPr>
            <w:tcW w:w="2450" w:type="dxa"/>
            <w:tcBorders/>
            <w:vAlign w:val="center"/>
          </w:tcPr>
          <w:p>
            <w:pPr>
              <w:pStyle w:val="TableContents"/>
              <w:bidi w:val="0"/>
              <w:spacing w:before="0" w:after="283"/>
              <w:jc w:val="left"/>
              <w:rPr>
                <w:sz w:val="20"/>
              </w:rPr>
            </w:pPr>
            <w:r>
              <w:rPr>
                <w:sz w:val="20"/>
              </w:rPr>
              <w:t>Date: May 12, 2023</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William J. Febbo</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20"/>
              </w:rPr>
            </w:pPr>
            <w:r>
              <w:rPr>
                <w:sz w:val="20"/>
              </w:rPr>
              <w:t>By: William J. Febbo</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sz w:val="20"/>
              </w:rPr>
            </w:pPr>
            <w:r>
              <w:rPr>
                <w:sz w:val="20"/>
              </w:rPr>
              <w:t>Title: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23" w:name="f10q0323ex31-2_optimizerx.htm"/>
      <w:bookmarkStart w:id="24" w:name="ksf10q0323ex312_optimizerx"/>
      <w:bookmarkEnd w:id="23"/>
      <w:bookmarkEnd w:id="24"/>
      <w:r>
        <w:rPr>
          <w:b/>
        </w:rPr>
        <w:t>Exhibit 31.2</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Edward Stelmakh certify that;</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1.</w:t>
            </w:r>
          </w:p>
        </w:tc>
        <w:tc>
          <w:tcPr>
            <w:tcW w:w="10002" w:type="dxa"/>
            <w:tcBorders/>
            <w:vAlign w:val="center"/>
          </w:tcPr>
          <w:p>
            <w:pPr>
              <w:pStyle w:val="TableContents"/>
              <w:bidi w:val="0"/>
              <w:spacing w:before="0" w:after="283"/>
              <w:jc w:val="both"/>
              <w:rPr/>
            </w:pPr>
            <w:r>
              <w:rPr/>
              <w:t>I have reviewed this quarterly report on Form 10-Q for the quarter ended March 31, 2023 of OptimizeRx Corp (the “registrant”);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both"/>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both"/>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both"/>
              <w:rPr/>
            </w:pPr>
            <w:r>
              <w:rPr/>
              <w:t>4.</w:t>
            </w:r>
          </w:p>
        </w:tc>
        <w:tc>
          <w:tcPr>
            <w:tcW w:w="10032"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a.</w:t>
            </w:r>
          </w:p>
        </w:tc>
        <w:tc>
          <w:tcPr>
            <w:tcW w:w="9982"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b.</w:t>
            </w:r>
          </w:p>
        </w:tc>
        <w:tc>
          <w:tcPr>
            <w:tcW w:w="9967"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c.</w:t>
            </w:r>
          </w:p>
        </w:tc>
        <w:tc>
          <w:tcPr>
            <w:tcW w:w="9982"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d.</w:t>
            </w:r>
          </w:p>
        </w:tc>
        <w:tc>
          <w:tcPr>
            <w:tcW w:w="9967"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both"/>
              <w:rPr/>
            </w:pPr>
            <w:r>
              <w:rPr/>
              <w:t>5.</w:t>
            </w:r>
          </w:p>
        </w:tc>
        <w:tc>
          <w:tcPr>
            <w:tcW w:w="10029"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a.</w:t>
            </w:r>
          </w:p>
        </w:tc>
        <w:tc>
          <w:tcPr>
            <w:tcW w:w="9982"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b.</w:t>
            </w:r>
          </w:p>
        </w:tc>
        <w:tc>
          <w:tcPr>
            <w:tcW w:w="9967"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2390"/>
        <w:gridCol w:w="75"/>
      </w:tblGrid>
      <w:tr>
        <w:trPr/>
        <w:tc>
          <w:tcPr>
            <w:tcW w:w="2390" w:type="dxa"/>
            <w:tcBorders/>
            <w:vAlign w:val="center"/>
          </w:tcPr>
          <w:p>
            <w:pPr>
              <w:pStyle w:val="TableContents"/>
              <w:bidi w:val="0"/>
              <w:spacing w:before="0" w:after="283"/>
              <w:jc w:val="left"/>
              <w:rPr>
                <w:sz w:val="20"/>
              </w:rPr>
            </w:pPr>
            <w:r>
              <w:rPr>
                <w:sz w:val="20"/>
              </w:rPr>
              <w:t>Date: May 12, 2023</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20"/>
              </w:rPr>
            </w:pPr>
            <w:r>
              <w:rPr>
                <w:sz w:val="20"/>
              </w:rPr>
              <w:t>By: Edward Stelmakh</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sz w:val="20"/>
              </w:rPr>
            </w:pPr>
            <w:r>
              <w:rPr>
                <w:sz w:val="20"/>
              </w:rPr>
              <w:t>Title: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25" w:name="f10q0323ex32-1_optimizerx.htm"/>
      <w:bookmarkStart w:id="26" w:name="ksf10q0323ex321_optimizerx"/>
      <w:bookmarkEnd w:id="25"/>
      <w:bookmarkEnd w:id="26"/>
      <w:r>
        <w:rPr>
          <w:b/>
        </w:rPr>
        <w:t>Exhibit 32.1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OF CHIEF EXECUTIVE OFFICER AND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OptimizeRx Corp (the “Company”) on Form 10-Q for the quarter ended March 31, 2023 filed with the Securities and Exchange Commission (the “Report”), I, Will Febbo, Chief Executive Officer and I, Edward Stelmakh, Chief Financial Officer of the Company, certify, pursuant to 18 U.S.C. Section 1350, as adopted pursuant to Section 906 of the Sarbanes-Oxley Act of 2002, that:</w:t>
      </w:r>
    </w:p>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pPr>
            <w:r>
              <w:rPr/>
              <w:t>1.</w:t>
            </w:r>
          </w:p>
        </w:tc>
        <w:tc>
          <w:tcPr>
            <w:tcW w:w="9993" w:type="dxa"/>
            <w:tcBorders/>
            <w:vAlign w:val="center"/>
          </w:tcPr>
          <w:p>
            <w:pPr>
              <w:pStyle w:val="TableContents"/>
              <w:bidi w:val="0"/>
              <w:spacing w:before="0" w:after="283"/>
              <w:jc w:val="both"/>
              <w:rPr/>
            </w:pPr>
            <w:r>
              <w:rPr/>
              <w:t>The Report fully complies with the requirements of Section 13(a) of the Securities Exchange Act of 1934; and</w:t>
            </w:r>
          </w:p>
        </w:tc>
      </w:tr>
    </w:tbl>
    <w:p>
      <w:pPr>
        <w:pStyle w:val="TextBody"/>
        <w:bidi w:val="0"/>
        <w:spacing w:before="0" w:after="0"/>
        <w:ind w:left="54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both"/>
              <w:rPr/>
            </w:pPr>
            <w:r>
              <w:rPr/>
              <w:t>2.</w:t>
            </w:r>
          </w:p>
        </w:tc>
        <w:tc>
          <w:tcPr>
            <w:tcW w:w="10026" w:type="dxa"/>
            <w:tcBorders/>
            <w:vAlign w:val="center"/>
          </w:tcPr>
          <w:p>
            <w:pPr>
              <w:pStyle w:val="TableContents"/>
              <w:bidi w:val="0"/>
              <w:spacing w:before="0" w:after="283"/>
              <w:jc w:val="both"/>
              <w:rPr/>
            </w:pPr>
            <w:r>
              <w:rPr/>
              <w:t>The information contained in the Report fairly presents, in all material respects, the consolidated financial condition of the Company as of the dates presented and the consolidated result of operations of the Company for the periods presented.</w:t>
            </w:r>
          </w:p>
        </w:tc>
      </w:tr>
    </w:tbl>
    <w:p>
      <w:pPr>
        <w:pStyle w:val="TextBody"/>
        <w:bidi w:val="0"/>
        <w:spacing w:before="0" w:after="283"/>
        <w:jc w:val="left"/>
        <w:rPr/>
      </w:pPr>
      <w:r>
        <w:rPr/>
        <w:t> </w:t>
      </w:r>
    </w:p>
    <w:tbl>
      <w:tblPr>
        <w:tblW w:w="2905" w:type="dxa"/>
        <w:jc w:val="left"/>
        <w:tblInd w:w="0" w:type="dxa"/>
        <w:tblLayout w:type="fixed"/>
        <w:tblCellMar>
          <w:top w:w="0" w:type="dxa"/>
          <w:left w:w="0" w:type="dxa"/>
          <w:bottom w:w="0" w:type="dxa"/>
          <w:right w:w="0" w:type="dxa"/>
        </w:tblCellMar>
      </w:tblPr>
      <w:tblGrid>
        <w:gridCol w:w="605"/>
        <w:gridCol w:w="2225"/>
        <w:gridCol w:w="75"/>
      </w:tblGrid>
      <w:tr>
        <w:trPr/>
        <w:tc>
          <w:tcPr>
            <w:tcW w:w="605" w:type="dxa"/>
            <w:tcBorders/>
            <w:vAlign w:val="center"/>
          </w:tcPr>
          <w:p>
            <w:pPr>
              <w:pStyle w:val="TableContents"/>
              <w:bidi w:val="0"/>
              <w:spacing w:before="0" w:after="283"/>
              <w:jc w:val="left"/>
              <w:rPr>
                <w:sz w:val="20"/>
              </w:rPr>
            </w:pPr>
            <w:r>
              <w:rPr>
                <w:sz w:val="20"/>
              </w:rPr>
              <w:t>By:</w:t>
            </w:r>
          </w:p>
        </w:tc>
        <w:tc>
          <w:tcPr>
            <w:tcW w:w="22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William J Febbo</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2225" w:type="dxa"/>
            <w:tcBorders/>
            <w:vAlign w:val="center"/>
          </w:tcPr>
          <w:p>
            <w:pPr>
              <w:pStyle w:val="TableContents"/>
              <w:bidi w:val="0"/>
              <w:spacing w:before="0" w:after="283"/>
              <w:jc w:val="left"/>
              <w:rPr>
                <w:sz w:val="20"/>
              </w:rPr>
            </w:pPr>
            <w:r>
              <w:rPr>
                <w:sz w:val="20"/>
              </w:rPr>
              <w:t>Willian J Febbo</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2225" w:type="dxa"/>
            <w:tcBorders/>
            <w:vAlign w:val="center"/>
          </w:tcPr>
          <w:p>
            <w:pPr>
              <w:pStyle w:val="TableContents"/>
              <w:bidi w:val="0"/>
              <w:spacing w:before="0" w:after="283"/>
              <w:jc w:val="left"/>
              <w:rPr>
                <w:sz w:val="20"/>
              </w:rPr>
            </w:pPr>
            <w:r>
              <w:rPr>
                <w:sz w:val="20"/>
              </w:rPr>
              <w:t>Principal Executive Officer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Date:</w:t>
            </w:r>
          </w:p>
        </w:tc>
        <w:tc>
          <w:tcPr>
            <w:tcW w:w="2225" w:type="dxa"/>
            <w:tcBorders/>
            <w:vAlign w:val="center"/>
          </w:tcPr>
          <w:p>
            <w:pPr>
              <w:pStyle w:val="TableContents"/>
              <w:bidi w:val="0"/>
              <w:spacing w:before="0" w:after="283"/>
              <w:jc w:val="left"/>
              <w:rPr>
                <w:sz w:val="20"/>
              </w:rPr>
            </w:pPr>
            <w:r>
              <w:rPr>
                <w:sz w:val="20"/>
              </w:rPr>
              <w:t>May 12, 2023</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By:</w:t>
            </w:r>
          </w:p>
        </w:tc>
        <w:tc>
          <w:tcPr>
            <w:tcW w:w="22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w:t>
            </w:r>
          </w:p>
        </w:tc>
        <w:tc>
          <w:tcPr>
            <w:tcW w:w="2225" w:type="dxa"/>
            <w:tcBorders/>
            <w:vAlign w:val="center"/>
          </w:tcPr>
          <w:p>
            <w:pPr>
              <w:pStyle w:val="TableContents"/>
              <w:bidi w:val="0"/>
              <w:spacing w:before="0" w:after="283"/>
              <w:jc w:val="left"/>
              <w:rPr>
                <w:sz w:val="20"/>
              </w:rPr>
            </w:pPr>
            <w:r>
              <w:rPr>
                <w:sz w:val="20"/>
              </w:rPr>
              <w:t>Edward Stelmakh</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2225" w:type="dxa"/>
            <w:tcBorders/>
            <w:vAlign w:val="center"/>
          </w:tcPr>
          <w:p>
            <w:pPr>
              <w:pStyle w:val="TableContents"/>
              <w:bidi w:val="0"/>
              <w:spacing w:before="0" w:after="283"/>
              <w:jc w:val="left"/>
              <w:rPr>
                <w:sz w:val="20"/>
              </w:rPr>
            </w:pPr>
            <w:r>
              <w:rPr>
                <w:sz w:val="20"/>
              </w:rPr>
              <w:t>Principal Financial Officer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Date:</w:t>
            </w:r>
          </w:p>
        </w:tc>
        <w:tc>
          <w:tcPr>
            <w:tcW w:w="2225" w:type="dxa"/>
            <w:tcBorders/>
            <w:vAlign w:val="center"/>
          </w:tcPr>
          <w:p>
            <w:pPr>
              <w:pStyle w:val="TableContents"/>
              <w:bidi w:val="0"/>
              <w:spacing w:before="0" w:after="283"/>
              <w:jc w:val="left"/>
              <w:rPr>
                <w:sz w:val="20"/>
              </w:rPr>
            </w:pPr>
            <w:r>
              <w:rPr>
                <w:sz w:val="20"/>
              </w:rPr>
              <w:t>May 12, 2023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has been furnished solely pursuant to Section 906 of the Sarbanes-Oxley Act of 2002.</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48431/000121390023019233/f10k2022ex3-3_optimizerx.htm" TargetMode="External"/><Relationship Id="rId3" Type="http://schemas.openxmlformats.org/officeDocument/2006/relationships/hyperlink" Target="http://www.sec.gov/Archives/edgar/data/1448431/000121390023019233/f10k2022ex10-18_optimizerx.htm" TargetMode="External"/><Relationship Id="rId4" Type="http://schemas.openxmlformats.org/officeDocument/2006/relationships/hyperlink" Target="http://www.sec.gov/Archives/edgar/data/1448431/000121390023019233/f10k2022ex10-19_optimizerx.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9881</Words>
  <Characters>55842</Characters>
  <CharactersWithSpaces>66597</CharactersWithSpaces>
  <Paragraphs>3019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