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183450-8k_optimizerx.htm"/>
      <w:bookmarkStart w:id="1" w:name="ksea1834508k_optimizerx"/>
      <w:bookmarkEnd w:id="0"/>
      <w:bookmarkEnd w:id="1"/>
      <w:r>
        <w:rPr>
          <w:bdr w:val="single" w:sz="16" w:space="1" w:color="000000"/>
        </w:rPr>
        <w:t> </w:t>
      </w:r>
    </w:p>
    <w:p>
      <w:pPr>
        <w:pStyle w:val="TextBody"/>
        <w:bidi w:val="0"/>
        <w:jc w:val="center"/>
        <w:rPr/>
      </w:pPr>
      <w:r>
        <w:rPr/>
        <w:t> </w:t>
      </w:r>
    </w:p>
    <w:p>
      <w:pPr>
        <w:pStyle w:val="TextBody"/>
        <w:bidi w:val="0"/>
        <w:jc w:val="center"/>
        <w:rPr/>
      </w:pPr>
      <w:r>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308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August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7_edei--EntityRegistrantName_c2023"/>
      <w:bookmarkEnd w:id="4"/>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165"/>
        <w:gridCol w:w="60"/>
        <w:gridCol w:w="2210"/>
        <w:gridCol w:w="60"/>
        <w:gridCol w:w="1580"/>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30814"/>
            <w:bookmarkEnd w:id="6"/>
            <w:r>
              <w:rPr>
                <w:rFonts w:ascii="Times New Roman;Times;Serif" w:hAnsi="Times New Roman;Times;Serif"/>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26-1265381</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8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28" w:type="dxa"/>
          <w:right w:w="0" w:type="dxa"/>
        </w:tblCellMar>
      </w:tblPr>
      <w:tblGrid>
        <w:gridCol w:w="3755"/>
        <w:gridCol w:w="60"/>
        <w:gridCol w:w="1010"/>
      </w:tblGrid>
      <w:tr>
        <w:trPr/>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8" w:name="xdx_90A_edei--EntityAddressAddressLine1_"/>
            <w:bookmarkEnd w:id="8"/>
            <w:r>
              <w:rPr>
                <w:rFonts w:ascii="Times New Roman;Times;Serif" w:hAnsi="Times New Roman;Times;Serif"/>
                <w:b/>
                <w:sz w:val="20"/>
              </w:rPr>
              <w:t>260 Charles Street</w:t>
            </w:r>
            <w:r>
              <w:rPr>
                <w:rFonts w:ascii="Times New Roman;Times;Serif" w:hAnsi="Times New Roman;Times;Serif"/>
                <w:sz w:val="20"/>
              </w:rPr>
              <w:t xml:space="preserve">, </w:t>
            </w:r>
            <w:bookmarkStart w:id="9" w:name="xdx_904_edei--EntityAddressAddressLine2_"/>
            <w:bookmarkEnd w:id="9"/>
            <w:r>
              <w:rPr>
                <w:rFonts w:ascii="Times New Roman;Times;Serif" w:hAnsi="Times New Roman;Times;Serif"/>
                <w:b/>
                <w:sz w:val="20"/>
              </w:rPr>
              <w:t xml:space="preserve">Suite 302, </w:t>
            </w:r>
            <w:bookmarkStart w:id="10" w:name="xdx_905_edei--EntityAddressCityOrTown_c2"/>
            <w:bookmarkEnd w:id="10"/>
            <w:r>
              <w:rPr>
                <w:rFonts w:ascii="Times New Roman;Times;Serif" w:hAnsi="Times New Roman;Times;Serif"/>
                <w:b/>
                <w:sz w:val="20"/>
              </w:rPr>
              <w:t xml:space="preserve">Waltham, </w:t>
            </w:r>
            <w:bookmarkStart w:id="11" w:name="xdx_903_edei--EntityAddressStateOrProvin"/>
            <w:bookmarkEnd w:id="11"/>
            <w:r>
              <w:rPr>
                <w:rFonts w:ascii="Times New Roman;Times;Serif" w:hAnsi="Times New Roman;Times;Serif"/>
                <w:b/>
                <w:sz w:val="20"/>
              </w:rPr>
              <w:t>MA</w:t>
            </w:r>
          </w:p>
        </w:tc>
        <w:tc>
          <w:tcPr>
            <w:tcW w:w="60" w:type="dxa"/>
            <w:tcBorders/>
            <w:tcMar>
              <w:bottom w:w="0" w:type="dxa"/>
            </w:tcMar>
            <w:vAlign w:val="center"/>
          </w:tcPr>
          <w:p>
            <w:pPr>
              <w:pStyle w:val="TableContents"/>
              <w:bidi w:val="0"/>
              <w:spacing w:before="0" w:after="283"/>
              <w:jc w:val="center"/>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12" w:name="xdx_908_edei--EntityAddressPostalZipCode"/>
            <w:bookmarkEnd w:id="12"/>
            <w:r>
              <w:rPr>
                <w:rFonts w:ascii="Times New Roman;Times;Serif" w:hAnsi="Times New Roman;Times;Serif"/>
                <w:b/>
                <w:sz w:val="20"/>
              </w:rPr>
              <w:t>02453</w:t>
            </w:r>
            <w:r>
              <w:rPr>
                <w:rFonts w:ascii="Times New Roman;Times;Serif" w:hAnsi="Times New Roman;Times;Serif"/>
                <w:sz w:val="20"/>
              </w:rPr>
              <w:t xml:space="preserve">  </w:t>
            </w:r>
          </w:p>
        </w:tc>
      </w:tr>
      <w:tr>
        <w:trPr/>
        <w:tc>
          <w:tcPr>
            <w:tcW w:w="37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C_edei--CityAreaCode_c20230814__20"/>
      <w:bookmarkEnd w:id="13"/>
      <w:r>
        <w:rPr>
          <w:rFonts w:ascii="Times New Roman;Times;Serif" w:hAnsi="Times New Roman;Times;Serif"/>
          <w:b/>
          <w:i w:val="false"/>
          <w:caps w:val="false"/>
          <w:smallCaps w:val="false"/>
          <w:sz w:val="20"/>
          <w:u w:val="single"/>
        </w:rPr>
        <w:t>248.</w:t>
      </w:r>
      <w:bookmarkStart w:id="14" w:name="xdx_901_edei--LocalPhoneNumber_c20230814"/>
      <w:bookmarkEnd w:id="14"/>
      <w:r>
        <w:rPr>
          <w:rFonts w:ascii="Times New Roman;Times;Serif" w:hAnsi="Times New Roman;Times;Serif"/>
          <w:b/>
          <w:i w:val="false"/>
          <w:caps w:val="false"/>
          <w:smallCaps w:val="false"/>
          <w:sz w:val="20"/>
          <w:u w:val="single"/>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Water Street, Suite 200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Rochester</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MI 48307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3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2780"/>
        <w:gridCol w:w="60"/>
        <w:gridCol w:w="860"/>
        <w:gridCol w:w="60"/>
        <w:gridCol w:w="3710"/>
      </w:tblGrid>
      <w:tr>
        <w:trPr/>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30814"/>
            <w:bookmarkEnd w:id="19"/>
            <w:r>
              <w:rPr>
                <w:rFonts w:ascii="Times New Roman;Times;Serif" w:hAnsi="Times New Roman;Times;Serif"/>
                <w:b w:val="false"/>
                <w:i w:val="false"/>
                <w:caps w:val="false"/>
                <w:smallCaps w:val="false"/>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30814__2"/>
            <w:bookmarkEnd w:id="20"/>
            <w:r>
              <w:rPr>
                <w:rFonts w:ascii="Times New Roman;Times;Serif" w:hAnsi="Times New Roman;Times;Serif"/>
                <w:b w:val="false"/>
                <w:i w:val="false"/>
                <w:caps w:val="false"/>
                <w:smallCaps w:val="false"/>
                <w:sz w:val="20"/>
              </w:rPr>
              <w:t>OPRX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C_edei--SecurityExchangeName_c2023"/>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tab/>
        <w:tab/>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2023, OptimizeRx Corporation issued a press release announcing its financial results for the quarter ended June 30, 2023. A copy of the press release is furnished with this Current Report on Form 8-K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w:t>
        <w:tab/>
        <w:t>Financial Statements and Exhibits.</w:t>
      </w:r>
    </w:p>
    <w:p>
      <w:pPr>
        <w:pStyle w:val="TextBody"/>
        <w:bidi w:val="0"/>
        <w:spacing w:before="0" w:after="0"/>
        <w:ind w:left="0" w:right="0" w:firstLine="180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680"/>
        <w:gridCol w:w="60"/>
        <w:gridCol w:w="6530"/>
      </w:tblGrid>
      <w:tr>
        <w:trPr/>
        <w:tc>
          <w:tcPr>
            <w:tcW w:w="68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30" w:type="dxa"/>
            <w:tcBorders>
              <w:bottom w:val="single" w:sz="12" w:space="0" w:color="000000"/>
            </w:tcBorders>
            <w:vAlign w:val="center"/>
          </w:tcPr>
          <w:p>
            <w:pPr>
              <w:pStyle w:val="TableContents"/>
              <w:bidi w:val="0"/>
              <w:spacing w:before="0" w:after="283"/>
              <w:ind w:left="0" w:right="0" w:hanging="0"/>
              <w:jc w:val="left"/>
              <w:rPr>
                <w:sz w:val="20"/>
              </w:rPr>
            </w:pPr>
            <w:r>
              <w:rPr>
                <w:sz w:val="20"/>
              </w:rPr>
              <w:t>Description</w:t>
            </w:r>
          </w:p>
        </w:tc>
      </w:tr>
      <w:tr>
        <w:trPr/>
        <w:tc>
          <w:tcPr>
            <w:tcW w:w="680" w:type="dxa"/>
            <w:tcBorders/>
            <w:shd w:fill="CCEEFF" w:val="clear"/>
            <w:tcMar>
              <w:bottom w:w="0" w:type="dxa"/>
            </w:tcMar>
            <w:vAlign w:val="center"/>
          </w:tcPr>
          <w:p>
            <w:pPr>
              <w:pStyle w:val="TableContents"/>
              <w:bidi w:val="0"/>
              <w:spacing w:before="0" w:after="283"/>
              <w:ind w:left="0" w:right="0" w:hanging="0"/>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530" w:type="dxa"/>
            <w:tcBorders/>
            <w:shd w:fill="CCEEFF" w:val="clear"/>
            <w:tcMar>
              <w:bottom w:w="0" w:type="dxa"/>
            </w:tcMar>
            <w:vAlign w:val="center"/>
          </w:tcPr>
          <w:p>
            <w:pPr>
              <w:pStyle w:val="TableContents"/>
              <w:bidi w:val="0"/>
              <w:spacing w:before="0" w:after="283"/>
              <w:ind w:left="0" w:right="0" w:hanging="0"/>
              <w:jc w:val="left"/>
              <w:rPr/>
            </w:pPr>
            <w:hyperlink w:anchor="ea183450ex99-1_optimize.htm">
              <w:r>
                <w:rPr>
                  <w:rStyle w:val="InternetLink"/>
                  <w:sz w:val="20"/>
                </w:rPr>
                <w:t>Press release, dated August 14, 2023</w:t>
              </w:r>
            </w:hyperlink>
          </w:p>
        </w:tc>
      </w:tr>
      <w:tr>
        <w:trPr/>
        <w:tc>
          <w:tcPr>
            <w:tcW w:w="680" w:type="dxa"/>
            <w:tcBorders/>
            <w:shd w:fill="FFFFFF" w:val="clear"/>
            <w:tcMar>
              <w:bottom w:w="0" w:type="dxa"/>
            </w:tcMar>
            <w:vAlign w:val="center"/>
          </w:tcPr>
          <w:p>
            <w:pPr>
              <w:pStyle w:val="TableContents"/>
              <w:bidi w:val="0"/>
              <w:spacing w:before="0" w:after="283"/>
              <w:ind w:left="0" w:right="0" w:hanging="0"/>
              <w:jc w:val="left"/>
              <w:rPr>
                <w:sz w:val="20"/>
              </w:rPr>
            </w:pPr>
            <w:r>
              <w:rPr>
                <w:sz w:val="20"/>
              </w:rPr>
              <w:t xml:space="preserve">104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53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865"/>
        <w:gridCol w:w="320"/>
        <w:gridCol w:w="710"/>
        <w:gridCol w:w="1895"/>
      </w:tblGrid>
      <w:tr>
        <w:trPr/>
        <w:tc>
          <w:tcPr>
            <w:tcW w:w="1865" w:type="dxa"/>
            <w:tcBorders/>
            <w:vAlign w:val="center"/>
          </w:tcPr>
          <w:p>
            <w:pPr>
              <w:pStyle w:val="TableContents"/>
              <w:bidi w:val="0"/>
              <w:spacing w:before="0" w:after="283"/>
              <w:jc w:val="left"/>
              <w:rPr/>
            </w:pPr>
            <w:r>
              <w:rPr/>
              <w:t> </w:t>
            </w:r>
          </w:p>
        </w:tc>
        <w:tc>
          <w:tcPr>
            <w:tcW w:w="292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OPTIMIZERX CORPORATION</w:t>
            </w:r>
          </w:p>
        </w:tc>
      </w:tr>
      <w:tr>
        <w:trPr/>
        <w:tc>
          <w:tcPr>
            <w:tcW w:w="1865" w:type="dxa"/>
            <w:tcBorders/>
            <w:vAlign w:val="center"/>
          </w:tcPr>
          <w:p>
            <w:pPr>
              <w:pStyle w:val="TableContents"/>
              <w:bidi w:val="0"/>
              <w:spacing w:before="0" w:after="283"/>
              <w:jc w:val="left"/>
              <w:rPr/>
            </w:pPr>
            <w:r>
              <w:rPr/>
              <w:t> </w:t>
            </w:r>
          </w:p>
        </w:tc>
        <w:tc>
          <w:tcPr>
            <w:tcW w:w="2925"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0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Edward Stelmakh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189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Edward Stelmakh</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jc w:val="right"/>
        <w:rPr>
          <w:rFonts w:ascii="Times New Roman;Times;Serif" w:hAnsi="Times New Roman;Times;Serif"/>
          <w:b/>
          <w:i w:val="false"/>
          <w:caps w:val="false"/>
          <w:smallCaps w:val="false"/>
          <w:sz w:val="20"/>
        </w:rPr>
      </w:pPr>
      <w:bookmarkStart w:id="23" w:name="ea183450ex99-1_optimize.htm"/>
      <w:bookmarkStart w:id="24" w:name="ksea183450ex991_optimize"/>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051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5125" cy="6858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xml:space="preserve">OptimizeRx Reports Second Quarter 2023 Financial Results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RWD.AI-enabled portion of the core business sees 186% YOY growth during the first half of 2023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Non-core business is lagging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Total revenue of $13.8 million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GAAP net loss per share of $(0.24)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Non-GAAP net loss per share of $(0.01)</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ROCHESTER, Mich. – August 14, 2023 –</w:t>
      </w:r>
      <w:r>
        <w:rPr>
          <w:rFonts w:ascii="Times New Roman;Times;Serif" w:hAnsi="Times New Roman;Times;Serif"/>
          <w:b w:val="false"/>
          <w:i w:val="false"/>
          <w:caps w:val="false"/>
          <w:smallCaps w:val="false"/>
          <w:sz w:val="20"/>
        </w:rPr>
        <w:t xml:space="preserve"> OptimizeRx Corp. (the “Company”) (Nasdaq: OPRX), a leading provider of point-of-care technology solutions helping patients start and stay on therapy, reported results for the three months ended June 30, 2023. Quarterly comparisons are to the same year-ago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in the second quarter of 2023 decreased 1% to $13.8 million, as compared to $14.0 million in the same year ago period.</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profit in the second quarter of 2023 decreased 13% year-over-year to $7.8 million, from $9.0 million during the second quarter of 2022.</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GAAP net loss totaled $(4.2) million or $(0.24) per basic and diluted shares outstanding in the second quarter, as compared to $(3.9) million or $(0.21) during the second quarter of 2022.</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Non-GAAP net loss in the second quarter totaled $(0.2) million or $(0.01) per fully diluted shares outstanding, as compared to $0.7 million or $0.04 per fully diluted shares outstanding during the second quarter of 2022 (see definition of this non-GAAP measure and reconciliation to GAAP, below).</w:t>
            </w:r>
          </w:p>
        </w:tc>
      </w:tr>
    </w:tbl>
    <w:p>
      <w:pPr>
        <w:pStyle w:val="TextBody"/>
        <w:bidi w:val="0"/>
        <w:spacing w:before="0" w:after="0"/>
        <w:ind w:left="36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repurchased 526,999 shares at an average price of $14.27 per share in the second quarter of 2023 for a total of $7.5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cash equivalents and short-term investments totaled $62.7 million as of June 30, 2023 as compared to $74.1 million as of December 31, 2022</w:t>
            </w:r>
          </w:p>
        </w:tc>
      </w:tr>
    </w:tbl>
    <w:p>
      <w:pPr>
        <w:pStyle w:val="TextBody"/>
        <w:bidi w:val="0"/>
        <w:spacing w:before="0" w:after="0"/>
        <w:ind w:left="0" w:right="0" w:firstLine="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Febbo, OptimizeRx CEO commented, “I am disappointed to report second quarter results fell below the internal expectations underlying our May strategic update. The primary impact was due to a revenue shortfall in certain non-core business lines as well as longer than expected MLR reviews that pushed revenue into the second half of the year. Moreover, we are still being affected by the macro headwinds we identified last year and expect this will persist through 2023, as we continue to pursue larger scale RWD.AI enterprise deals. Despite these events, there were several bright spots in the period which speak to our land and expand strategy including the securing of three additional AI contracts with existing clients. We will continue to build upon a strong base of customers as we serve all our top 20 pharma manufacturers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strongly contend that the life sciences industry is only at the beginning of its digital shift with a full realization expected to occur in the next two to five years. We are optimizing our portfolio in order to concentrate our team and efforts on our RWD.AI-enabled healthcare technology platform which helps pharma acquire and onboard patients. This transformational offering is the most differentiated and growing part of our business, seeing year-over-year growth of 186%. As a result, we will deploy our resources to the areas with the overwhelming majority of our revenues and, in the second half of 2023, we will reduce our cash operating expense run rate going into 2024 by at least 10%. We expect the second half of 2023 to show positive momentum as it relates to our client enterprise deals, channel partner expansion and strategic initiatives in our core business.”</w:t>
      </w:r>
    </w:p>
    <w:p>
      <w:pPr>
        <w:pStyle w:val="TextBody"/>
        <w:bidi w:val="0"/>
        <w:spacing w:before="0" w:after="0"/>
        <w:ind w:left="0" w:right="0" w:hanging="0"/>
        <w:jc w:val="both"/>
        <w:rPr>
          <w:caps w:val="false"/>
          <w:smallCaps w:val="false"/>
        </w:rPr>
      </w:pPr>
      <w:r>
        <w:rPr>
          <w:caps w:val="false"/>
          <w:smallCaps w:val="false"/>
        </w:rPr>
        <w:t> </w:t>
      </w:r>
    </w:p>
    <w:tbl>
      <w:tblPr>
        <w:tblW w:w="9986" w:type="dxa"/>
        <w:jc w:val="left"/>
        <w:tblInd w:w="0" w:type="dxa"/>
        <w:tblLayout w:type="fixed"/>
        <w:tblCellMar>
          <w:top w:w="0" w:type="dxa"/>
          <w:left w:w="0" w:type="dxa"/>
          <w:bottom w:w="0" w:type="dxa"/>
          <w:right w:w="0" w:type="dxa"/>
        </w:tblCellMar>
      </w:tblPr>
      <w:tblGrid>
        <w:gridCol w:w="6575"/>
        <w:gridCol w:w="60"/>
        <w:gridCol w:w="173"/>
        <w:gridCol w:w="1217"/>
        <w:gridCol w:w="267"/>
        <w:gridCol w:w="74"/>
        <w:gridCol w:w="173"/>
        <w:gridCol w:w="1217"/>
        <w:gridCol w:w="230"/>
      </w:tblGrid>
      <w:tr>
        <w:trPr/>
        <w:tc>
          <w:tcPr>
            <w:tcW w:w="6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Rolling Twelve Months Ended</w:t>
            </w:r>
          </w:p>
        </w:tc>
        <w:tc>
          <w:tcPr>
            <w:tcW w:w="230" w:type="dxa"/>
            <w:tcBorders/>
            <w:vAlign w:val="center"/>
          </w:tcPr>
          <w:p>
            <w:pPr>
              <w:pStyle w:val="TableContents"/>
              <w:bidi w:val="0"/>
              <w:spacing w:before="0" w:after="283"/>
              <w:jc w:val="center"/>
              <w:rPr/>
            </w:pPr>
            <w:r>
              <w:rPr/>
              <w:t> </w:t>
            </w:r>
          </w:p>
        </w:tc>
      </w:tr>
      <w:tr>
        <w:trPr/>
        <w:tc>
          <w:tcPr>
            <w:tcW w:w="6575" w:type="dxa"/>
            <w:tcBorders>
              <w:bottom w:val="single" w:sz="12" w:space="0" w:color="000000"/>
            </w:tcBorders>
            <w:tcMar>
              <w:bottom w:w="28" w:type="dxa"/>
            </w:tcMar>
            <w:vAlign w:val="center"/>
          </w:tcPr>
          <w:p>
            <w:pPr>
              <w:pStyle w:val="TableContents"/>
              <w:bidi w:val="0"/>
              <w:spacing w:before="0" w:after="283"/>
              <w:jc w:val="left"/>
              <w:rPr>
                <w:b/>
              </w:rPr>
            </w:pPr>
            <w:r>
              <w:rPr>
                <w:b/>
              </w:rPr>
              <w:t>Key Performance Indicators (KPIs)*</w:t>
            </w:r>
          </w:p>
        </w:tc>
        <w:tc>
          <w:tcPr>
            <w:tcW w:w="60" w:type="dxa"/>
            <w:tcBorders/>
            <w:vAlign w:val="center"/>
          </w:tcPr>
          <w:p>
            <w:pPr>
              <w:pStyle w:val="TableContents"/>
              <w:bidi w:val="0"/>
              <w:spacing w:before="0" w:after="283"/>
              <w:jc w:val="center"/>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267" w:type="dxa"/>
            <w:tcBorders/>
            <w:vAlign w:val="center"/>
          </w:tcPr>
          <w:p>
            <w:pPr>
              <w:pStyle w:val="TableContents"/>
              <w:bidi w:val="0"/>
              <w:spacing w:before="0" w:after="283"/>
              <w:jc w:val="center"/>
              <w:rPr/>
            </w:pPr>
            <w:r>
              <w:rPr/>
              <w:t> </w:t>
            </w:r>
          </w:p>
        </w:tc>
        <w:tc>
          <w:tcPr>
            <w:tcW w:w="74" w:type="dxa"/>
            <w:tcBorders/>
            <w:vAlign w:val="center"/>
          </w:tcPr>
          <w:p>
            <w:pPr>
              <w:pStyle w:val="TableContents"/>
              <w:bidi w:val="0"/>
              <w:spacing w:before="0" w:after="283"/>
              <w:jc w:val="center"/>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2023</w:t>
            </w:r>
          </w:p>
        </w:tc>
        <w:tc>
          <w:tcPr>
            <w:tcW w:w="230" w:type="dxa"/>
            <w:tcBorders/>
            <w:vAlign w:val="center"/>
          </w:tcPr>
          <w:p>
            <w:pPr>
              <w:pStyle w:val="TableContents"/>
              <w:bidi w:val="0"/>
              <w:spacing w:before="0" w:after="283"/>
              <w:jc w:val="center"/>
              <w:rPr/>
            </w:pPr>
            <w:r>
              <w:rPr/>
              <w:t> </w:t>
            </w:r>
          </w:p>
        </w:tc>
      </w:tr>
      <w:tr>
        <w:trPr/>
        <w:tc>
          <w:tcPr>
            <w:tcW w:w="6575" w:type="dxa"/>
            <w:tcBorders/>
            <w:shd w:fill="CCEEFF" w:val="clear"/>
            <w:vAlign w:val="center"/>
          </w:tcPr>
          <w:p>
            <w:pPr>
              <w:pStyle w:val="TableContents"/>
              <w:bidi w:val="0"/>
              <w:spacing w:before="0" w:after="283"/>
              <w:jc w:val="left"/>
              <w:rPr/>
            </w:pPr>
            <w:r>
              <w:rPr/>
              <w:t>Average revenue per top 20 pharmaceutical manufacturer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1,972,308</w:t>
            </w:r>
          </w:p>
        </w:tc>
        <w:tc>
          <w:tcPr>
            <w:tcW w:w="26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1,993,755</w:t>
            </w:r>
          </w:p>
        </w:tc>
        <w:tc>
          <w:tcPr>
            <w:tcW w:w="230" w:type="dxa"/>
            <w:tcBorders/>
            <w:shd w:fill="CCEE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left"/>
              <w:rPr/>
            </w:pPr>
            <w:r>
              <w:rPr/>
              <w:t>Percent of top 20 pharmaceutical manufacturers that are customers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90</w:t>
            </w:r>
          </w:p>
        </w:tc>
        <w:tc>
          <w:tcPr>
            <w:tcW w:w="26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90</w:t>
            </w:r>
          </w:p>
        </w:tc>
        <w:tc>
          <w:tcPr>
            <w:tcW w:w="230" w:type="dxa"/>
            <w:tcBorders/>
            <w:shd w:fill="FFFFFF" w:val="clear"/>
            <w:vAlign w:val="center"/>
          </w:tcPr>
          <w:p>
            <w:pPr>
              <w:pStyle w:val="TableContents"/>
              <w:bidi w:val="0"/>
              <w:spacing w:before="0" w:after="283"/>
              <w:jc w:val="left"/>
              <w:rPr/>
            </w:pPr>
            <w:r>
              <w:rPr/>
              <w:t>%</w:t>
            </w:r>
          </w:p>
        </w:tc>
      </w:tr>
      <w:tr>
        <w:trPr/>
        <w:tc>
          <w:tcPr>
            <w:tcW w:w="6575" w:type="dxa"/>
            <w:tcBorders/>
            <w:shd w:fill="CCEEFF" w:val="clear"/>
            <w:vAlign w:val="center"/>
          </w:tcPr>
          <w:p>
            <w:pPr>
              <w:pStyle w:val="TableContents"/>
              <w:bidi w:val="0"/>
              <w:spacing w:before="0" w:after="283"/>
              <w:jc w:val="left"/>
              <w:rPr/>
            </w:pPr>
            <w:r>
              <w:rPr/>
              <w:t>Top 20 pharmaceutical manufacturers as percent of total net revenues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58</w:t>
            </w:r>
          </w:p>
        </w:tc>
        <w:tc>
          <w:tcPr>
            <w:tcW w:w="26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r>
        <w:trPr/>
        <w:tc>
          <w:tcPr>
            <w:tcW w:w="6575" w:type="dxa"/>
            <w:tcBorders/>
            <w:shd w:fill="FFFFFF" w:val="clear"/>
            <w:vAlign w:val="center"/>
          </w:tcPr>
          <w:p>
            <w:pPr>
              <w:pStyle w:val="TableContents"/>
              <w:bidi w:val="0"/>
              <w:spacing w:before="0" w:after="283"/>
              <w:jc w:val="left"/>
              <w:rPr/>
            </w:pPr>
            <w:r>
              <w:rPr/>
              <w:t>Net revenue retention</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89</w:t>
            </w:r>
          </w:p>
        </w:tc>
        <w:tc>
          <w:tcPr>
            <w:tcW w:w="26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86</w:t>
            </w:r>
          </w:p>
        </w:tc>
        <w:tc>
          <w:tcPr>
            <w:tcW w:w="230" w:type="dxa"/>
            <w:tcBorders/>
            <w:shd w:fill="FFFFFF" w:val="clear"/>
            <w:vAlign w:val="center"/>
          </w:tcPr>
          <w:p>
            <w:pPr>
              <w:pStyle w:val="TableContents"/>
              <w:bidi w:val="0"/>
              <w:spacing w:before="0" w:after="283"/>
              <w:jc w:val="left"/>
              <w:rPr/>
            </w:pPr>
            <w:r>
              <w:rPr/>
              <w:t>%</w:t>
            </w:r>
          </w:p>
        </w:tc>
      </w:tr>
      <w:tr>
        <w:trPr/>
        <w:tc>
          <w:tcPr>
            <w:tcW w:w="6575" w:type="dxa"/>
            <w:tcBorders/>
            <w:shd w:fill="CCEEFF" w:val="clear"/>
            <w:vAlign w:val="center"/>
          </w:tcPr>
          <w:p>
            <w:pPr>
              <w:pStyle w:val="TableContents"/>
              <w:bidi w:val="0"/>
              <w:spacing w:before="0" w:after="283"/>
              <w:jc w:val="left"/>
              <w:rPr/>
            </w:pPr>
            <w:r>
              <w:rPr/>
              <w:t>Revenue per averages full-time employee (FTE)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559,646</w:t>
            </w:r>
          </w:p>
        </w:tc>
        <w:tc>
          <w:tcPr>
            <w:tcW w:w="26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605,113</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first half results, the Company is updating its full year financial outlook for 2023. Revenues are now expected to be in the mid-50 to low-60 million dollar range with a gross margin rate between 55% and 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management will host the presentation, followed by a question-and-answer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w:t>
      </w:r>
      <w:r>
        <w:rPr>
          <w:rFonts w:ascii="Times New Roman;Times;Serif" w:hAnsi="Times New Roman;Times;Serif"/>
          <w:b w:val="false"/>
          <w:i w:val="false"/>
          <w:caps w:val="false"/>
          <w:smallCaps w:val="false"/>
          <w:sz w:val="20"/>
        </w:rPr>
        <w:t>Monday, August 14, 2023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Time: </w:t>
      </w:r>
      <w:r>
        <w:rPr>
          <w:rFonts w:ascii="Times New Roman;Times;Serif" w:hAnsi="Times New Roman;Times;Serif"/>
          <w:b w:val="false"/>
          <w:i w:val="false"/>
          <w:caps w:val="false"/>
          <w:smallCaps w:val="false"/>
          <w:sz w:val="20"/>
        </w:rPr>
        <w:t>4:30 p.m. Eastern time (1:30 p.m. Pacific time)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Toll-free dial-in number:</w:t>
      </w:r>
      <w:r>
        <w:rPr>
          <w:rFonts w:ascii="Times New Roman;Times;Serif" w:hAnsi="Times New Roman;Times;Serif"/>
          <w:b w:val="false"/>
          <w:i w:val="false"/>
          <w:caps w:val="false"/>
          <w:smallCaps w:val="false"/>
          <w:sz w:val="20"/>
        </w:rPr>
        <w:t xml:space="preserve"> 1-888-886-7786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International dial-in number:</w:t>
      </w:r>
      <w:r>
        <w:rPr>
          <w:rFonts w:ascii="Times New Roman;Times;Serif" w:hAnsi="Times New Roman;Times;Serif"/>
          <w:b w:val="false"/>
          <w:i w:val="false"/>
          <w:caps w:val="false"/>
          <w:smallCaps w:val="false"/>
          <w:sz w:val="20"/>
        </w:rPr>
        <w:t xml:space="preserve"> 1-416-764-8658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Conference ID:</w:t>
      </w:r>
      <w:r>
        <w:rPr>
          <w:rFonts w:ascii="Times New Roman;Times;Serif" w:hAnsi="Times New Roman;Times;Serif"/>
          <w:b w:val="false"/>
          <w:i w:val="false"/>
          <w:caps w:val="false"/>
          <w:smallCaps w:val="false"/>
          <w:sz w:val="20"/>
        </w:rPr>
        <w:t xml:space="preserve"> 45665957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Call Me Link:</w:t>
      </w:r>
      <w:r>
        <w:rPr>
          <w:rFonts w:ascii="Times New Roman;Times;Serif" w:hAnsi="Times New Roman;Times;Serif"/>
          <w:b w:val="false"/>
          <w:i w:val="false"/>
          <w:caps w:val="false"/>
          <w:smallCaps w:val="false"/>
          <w:sz w:val="20"/>
        </w:rPr>
        <w:t xml:space="preserve"> https://emportal.ink/3YcIQBR</w:t>
        <w:tab/>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Link</w:t>
      </w:r>
      <w:r>
        <w:rPr>
          <w:rFonts w:ascii="Times New Roman;Times;Serif" w:hAnsi="Times New Roman;Times;Serif"/>
          <w:b w:val="false"/>
          <w:i w:val="false"/>
          <w:caps w:val="false"/>
          <w:smallCaps w:val="false"/>
          <w:sz w:val="20"/>
        </w:rPr>
        <w:t>: https://viavid.webcasts.com/starthere.jsp?ei=1627364&amp;tp_key=42698fc073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call the conference telephone number five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remain available for 12 months via the Investors section of the OptimizeRx website at www.optimizerx.com/investors.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includes a presentation of non-GAAP net loss and non-GAAP net loss per diluted share or non-GAAP EPS, both of which are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non-GAAP net loss as GAAP net loss with an adjustment to add back depreciation, amortization, stock-based compensation, acquisition expenses, income or loss related to the fair value of contingent consideration, and deferred income taxes. Non-GAAP EPS is defined as non-GAAP net loss divided by the number of weighted average shares outstanding on a diluted basis. The Company has provided non-GAAP financial measures to aid investors in better understanding its performance. Management believes that these non-GAAP financial measures provide additional insight into the operations and cash flow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net loss and non-GAAP EPS measures may not provide information that is directly comparable to that provided by other companies in the Company’s industry, as other companies in the industry may calculate such non-GAAP financial results differently. The Company’s non-GAAP net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GAAP to NON-GAAP Financial Measures,” included below, provides a reconciliation of non-GAAP net loss and non-GAAP EPS for the three and six months ended 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Top 20 pharmaceutical manufacturers: </w:t>
      </w:r>
      <w:r>
        <w:rPr>
          <w:rFonts w:ascii="Times New Roman;Times;Serif" w:hAnsi="Times New Roman;Times;Serif"/>
          <w:b w:val="false"/>
          <w:i w:val="false"/>
          <w:caps w:val="false"/>
          <w:smallCaps w:val="false"/>
          <w:sz w:val="20"/>
        </w:rPr>
        <w:t>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 Time Employee:</w:t>
      </w:r>
      <w:r>
        <w:rPr>
          <w:rFonts w:ascii="Times New Roman;Times;Serif" w:hAnsi="Times New Roman;Times;Serif"/>
          <w:b w:val="false"/>
          <w:i w:val="false"/>
          <w:caps w:val="false"/>
          <w:smallCaps w:val="false"/>
          <w:sz w:val="20"/>
        </w:rPr>
        <w:t xml:space="preserve"> 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OptimizeRx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 </w:t>
      </w:r>
    </w:p>
    <w:p>
      <w:pPr>
        <w:pStyle w:val="TextBody"/>
        <w:bidi w:val="0"/>
        <w:spacing w:before="0" w:after="0"/>
        <w:ind w:left="720" w:right="0" w:hanging="27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Twitter, LinkedIn or visit www.optimizerx.com.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Cautions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2022, its subsequent Quarterly Reports on Form 10-Q, and its other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adsilva@optimizerx.com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arr@lifesciadvisors.com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1"/>
        <w:gridCol w:w="60"/>
        <w:gridCol w:w="140"/>
        <w:gridCol w:w="1220"/>
        <w:gridCol w:w="95"/>
        <w:gridCol w:w="60"/>
        <w:gridCol w:w="141"/>
        <w:gridCol w:w="1238"/>
        <w:gridCol w:w="90"/>
      </w:tblGrid>
      <w:tr>
        <w:trPr/>
        <w:tc>
          <w:tcPr>
            <w:tcW w:w="71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90" w:type="dxa"/>
            <w:tcBorders/>
            <w:vAlign w:val="center"/>
          </w:tcPr>
          <w:p>
            <w:pPr>
              <w:pStyle w:val="TableContents"/>
              <w:bidi w:val="0"/>
              <w:spacing w:before="0" w:after="283"/>
              <w:ind w:left="0" w:right="0" w:hanging="180"/>
              <w:jc w:val="center"/>
              <w:rPr/>
            </w:pPr>
            <w:r>
              <w:rPr/>
              <w:t> </w:t>
            </w:r>
          </w:p>
        </w:tc>
      </w:tr>
      <w:tr>
        <w:trPr/>
        <w:tc>
          <w:tcPr>
            <w:tcW w:w="71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161"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16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9,808,330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18,208,685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52,931,831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55,931,821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18,281,133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22,155,301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4,052,729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2,280,828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85,074,023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98,576,635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140,968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137,448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22,673,820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22,673,820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Technology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8,366,375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7,702,895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Patent rights,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1,940,178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Right of 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235,320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Other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3,223,305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3,384,889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36,109,883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35,937,102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121,324,874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FFFFFF" w:val="clear"/>
            <w:tcMar>
              <w:bottom w:w="28" w:type="dxa"/>
            </w:tcMar>
            <w:vAlign w:val="center"/>
          </w:tcPr>
          <w:p>
            <w:pPr>
              <w:pStyle w:val="TableContents"/>
              <w:bidi w:val="0"/>
              <w:spacing w:before="0" w:after="283"/>
              <w:jc w:val="right"/>
              <w:rPr/>
            </w:pPr>
            <w:r>
              <w:rPr/>
              <w:t>134,651,185</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Accounts payable – trade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817,779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1,549,979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1,503,477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2,601,246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Revenue share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2,722,127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3,990,440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89,902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451,787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164,309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5,509,715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8,395,876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144,532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5,509,715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8,540,408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Commitments and contingencies (See note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Preferred stock, $0.001 par value, 10,000,000 shares authorized, none issued and outstanding at June 30, 2023 or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161" w:type="dxa"/>
            <w:tcBorders/>
            <w:shd w:fill="FFFFFF" w:val="clear"/>
            <w:vAlign w:val="center"/>
          </w:tcPr>
          <w:p>
            <w:pPr>
              <w:pStyle w:val="TableContents"/>
              <w:bidi w:val="0"/>
              <w:spacing w:before="0" w:after="283"/>
              <w:jc w:val="left"/>
              <w:rPr/>
            </w:pPr>
            <w:r>
              <w:rPr/>
              <w:t>Common stock, $0.001 par value, 166,666,667 shares authorized, 18,376,771 and 18,288,571 shares issued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18,289</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Treasury stock, $0.001 par value, 1,741,397 and 1,214,398 shares held at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(1,214</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161"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173,049,784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172,785,800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(57,251,261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(46,692,098</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161"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115,815,159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38" w:type="dxa"/>
            <w:tcBorders>
              <w:bottom w:val="single" w:sz="12" w:space="0" w:color="000000"/>
            </w:tcBorders>
            <w:shd w:fill="FFFFFF" w:val="clear"/>
            <w:tcMar>
              <w:bottom w:w="28" w:type="dxa"/>
            </w:tcMar>
            <w:vAlign w:val="center"/>
          </w:tcPr>
          <w:p>
            <w:pPr>
              <w:pStyle w:val="TableContents"/>
              <w:bidi w:val="0"/>
              <w:spacing w:before="0" w:after="283"/>
              <w:jc w:val="right"/>
              <w:rPr/>
            </w:pPr>
            <w:r>
              <w:rPr/>
              <w:t>126,110,777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161"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121,324,874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134,651,185</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OPERATIONS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5"/>
        <w:gridCol w:w="60"/>
        <w:gridCol w:w="140"/>
        <w:gridCol w:w="1100"/>
        <w:gridCol w:w="95"/>
        <w:gridCol w:w="60"/>
        <w:gridCol w:w="140"/>
        <w:gridCol w:w="1100"/>
        <w:gridCol w:w="95"/>
        <w:gridCol w:w="60"/>
        <w:gridCol w:w="140"/>
        <w:gridCol w:w="1175"/>
        <w:gridCol w:w="95"/>
        <w:gridCol w:w="60"/>
        <w:gridCol w:w="140"/>
        <w:gridCol w:w="1100"/>
        <w:gridCol w:w="110"/>
      </w:tblGrid>
      <w:tr>
        <w:trPr/>
        <w:tc>
          <w:tcPr>
            <w:tcW w:w="4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w:t>
              <w:br/>
              <w:t>Ended 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w:t>
              <w:br/>
              <w:t>Ended June 30,</w:t>
            </w:r>
          </w:p>
        </w:tc>
        <w:tc>
          <w:tcPr>
            <w:tcW w:w="110" w:type="dxa"/>
            <w:tcBorders/>
            <w:vAlign w:val="center"/>
          </w:tcPr>
          <w:p>
            <w:pPr>
              <w:pStyle w:val="TableContents"/>
              <w:bidi w:val="0"/>
              <w:spacing w:before="0" w:after="283"/>
              <w:jc w:val="center"/>
              <w:rPr/>
            </w:pPr>
            <w:r>
              <w:rPr/>
              <w:t> </w:t>
            </w:r>
          </w:p>
        </w:tc>
      </w:tr>
      <w:tr>
        <w:trPr/>
        <w:tc>
          <w:tcPr>
            <w:tcW w:w="4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center"/>
              <w:rPr/>
            </w:pPr>
            <w:r>
              <w:rPr/>
              <w:t> </w:t>
            </w:r>
          </w:p>
        </w:tc>
      </w:tr>
      <w:tr>
        <w:trPr/>
        <w:tc>
          <w:tcPr>
            <w:tcW w:w="4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center"/>
              <w:rPr/>
            </w:pPr>
            <w:r>
              <w:rPr/>
              <w:t> </w:t>
            </w:r>
          </w:p>
        </w:tc>
      </w:tr>
      <w:tr>
        <w:trPr/>
        <w:tc>
          <w:tcPr>
            <w:tcW w:w="453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13,818,166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13,978,665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26,821,076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27,710,195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5,993,145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4,988,716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11,562,766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10,618,574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7,825,021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8,989,949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15,258,310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17,091,621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12,242,128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12,320,362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26,274,669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23,711,597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464,761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578,117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928,695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1,049,656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12,706,889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12,898,479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27,203,364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24,761,253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(4,881,868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(3,908,530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(11,945,054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(7,669,632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53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720,419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1,385,891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23,820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(4,161,449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(3,884,714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(10,559,163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(7,645,812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53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(4,161,449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(3,884,714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(10,559,163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(7,645,812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535"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16,992,100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18,122,500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17,043,793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18,000,958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535" w:type="dxa"/>
            <w:tcBorders/>
            <w:shd w:fill="FFFFFF" w:val="clear"/>
            <w:vAlign w:val="center"/>
          </w:tcPr>
          <w:p>
            <w:pPr>
              <w:pStyle w:val="TableContents"/>
              <w:bidi w:val="0"/>
              <w:spacing w:before="0" w:after="283"/>
              <w:jc w:val="left"/>
              <w:rPr/>
            </w:pPr>
            <w:r>
              <w:rPr/>
              <w:t>Weighted average number of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16,992,100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18,122,500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17,043,793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18,000,958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535"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535" w:type="dxa"/>
            <w:tcBorders/>
            <w:shd w:fill="FFFFFF" w:val="clear"/>
            <w:vAlign w:val="center"/>
          </w:tcPr>
          <w:p>
            <w:pPr>
              <w:pStyle w:val="TableContents"/>
              <w:bidi w:val="0"/>
              <w:spacing w:before="0" w:after="283"/>
              <w:jc w:val="left"/>
              <w:rPr/>
            </w:pPr>
            <w:r>
              <w:rPr/>
              <w:t>Loss per share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0"/>
        <w:gridCol w:w="60"/>
        <w:gridCol w:w="140"/>
        <w:gridCol w:w="1295"/>
        <w:gridCol w:w="95"/>
        <w:gridCol w:w="60"/>
        <w:gridCol w:w="140"/>
        <w:gridCol w:w="1100"/>
        <w:gridCol w:w="105"/>
      </w:tblGrid>
      <w:tr>
        <w:trPr/>
        <w:tc>
          <w:tcPr>
            <w:tcW w:w="72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w:t>
              <w:br/>
              <w:t>Ended June 30,</w:t>
            </w:r>
          </w:p>
        </w:tc>
        <w:tc>
          <w:tcPr>
            <w:tcW w:w="105" w:type="dxa"/>
            <w:tcBorders/>
            <w:vAlign w:val="center"/>
          </w:tcPr>
          <w:p>
            <w:pPr>
              <w:pStyle w:val="TableContents"/>
              <w:bidi w:val="0"/>
              <w:spacing w:before="0" w:after="283"/>
              <w:ind w:left="0" w:right="0" w:hanging="180"/>
              <w:jc w:val="left"/>
              <w:rPr/>
            </w:pPr>
            <w:r>
              <w:rPr/>
              <w:t> </w:t>
            </w:r>
          </w:p>
        </w:tc>
      </w:tr>
      <w:tr>
        <w:trPr/>
        <w:tc>
          <w:tcPr>
            <w:tcW w:w="7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5" w:type="dxa"/>
            <w:tcBorders/>
            <w:vAlign w:val="center"/>
          </w:tcPr>
          <w:p>
            <w:pPr>
              <w:pStyle w:val="TableContents"/>
              <w:bidi w:val="0"/>
              <w:spacing w:before="0" w:after="283"/>
              <w:ind w:left="0" w:right="0" w:hanging="180"/>
              <w:jc w:val="left"/>
              <w:rPr/>
            </w:pPr>
            <w:r>
              <w:rPr/>
              <w:t> </w:t>
            </w:r>
          </w:p>
        </w:tc>
      </w:tr>
      <w:tr>
        <w:trPr/>
        <w:tc>
          <w:tcPr>
            <w:tcW w:w="721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(10,559,163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(7,645,812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7210" w:type="dxa"/>
            <w:tcBorders/>
            <w:shd w:fill="FFFFFF" w:val="clear"/>
            <w:vAlign w:val="center"/>
          </w:tcPr>
          <w:p>
            <w:pPr>
              <w:pStyle w:val="TableContents"/>
              <w:bidi w:val="0"/>
              <w:spacing w:before="0" w:after="283"/>
              <w:jc w:val="left"/>
              <w:rPr/>
            </w:pPr>
            <w:r>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928,695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1,049,656</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7,883,626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7,199,421</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Increase in bad debt reserve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238,748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98,727</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Changes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3,635,420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5,969,009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(1,771,899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1,266,478</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(732,200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64,232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Revenue share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(1,268,313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(2,001,379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(1,096,881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(1,263,971</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721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287,478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(347,989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(2,454,489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4,388,372</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b/>
              </w:rPr>
            </w:pPr>
            <w:r>
              <w:rPr>
                <w:b/>
              </w:rPr>
              <w:t>CASH FLOWS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(41,335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pPr>
            <w:r>
              <w:rPr/>
              <w:t>Purchases of held-to-maturity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(109,501,032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Redemptions of held-to-maturity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112,501,021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EvinceMed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(2,000,000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7210" w:type="dxa"/>
            <w:tcBorders/>
            <w:shd w:fill="FFFFFF" w:val="clear"/>
            <w:vAlign w:val="center"/>
          </w:tcPr>
          <w:p>
            <w:pPr>
              <w:pStyle w:val="TableContents"/>
              <w:bidi w:val="0"/>
              <w:spacing w:before="0" w:after="283"/>
              <w:jc w:val="left"/>
              <w:rPr/>
            </w:pPr>
            <w:r>
              <w:rPr/>
              <w:t>Acquisition of intangible assets, including intellectual property rights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(145,257</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pPr>
            <w:r>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(1,274,150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1,674,215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(2,186,592</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b/>
              </w:rPr>
            </w:pPr>
            <w:r>
              <w:rPr>
                <w:b/>
              </w:rPr>
              <w:t>CASH FLOWS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Cash paid for employee withholding taxes related to the vesting of restricted stock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Repurchase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(7,522,426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(321,054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721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145,706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830,474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(7,620,081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509,420</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b/>
              </w:rPr>
            </w:pPr>
            <w:r>
              <w:rPr>
                <w:b/>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(8,400,355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2,711,200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b/>
              </w:rPr>
            </w:pPr>
            <w:r>
              <w:rPr>
                <w:b/>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18,208,685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84,681,770</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9,808,330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87,392,970</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Reduction of EvinceMed purchase price for amounts previously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708,334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7210" w:type="dxa"/>
            <w:tcBorders/>
            <w:shd w:fill="FFFFFF" w:val="clear"/>
            <w:vAlign w:val="center"/>
          </w:tcPr>
          <w:p>
            <w:pPr>
              <w:pStyle w:val="TableContents"/>
              <w:bidi w:val="0"/>
              <w:spacing w:before="0" w:after="283"/>
              <w:jc w:val="left"/>
              <w:rPr/>
            </w:pPr>
            <w:r>
              <w:rPr/>
              <w:t>Shares issued in connection with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9,374,455</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721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FINANCIAL MEASURES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40"/>
        <w:gridCol w:w="60"/>
        <w:gridCol w:w="140"/>
        <w:gridCol w:w="1100"/>
        <w:gridCol w:w="95"/>
        <w:gridCol w:w="60"/>
        <w:gridCol w:w="140"/>
        <w:gridCol w:w="1100"/>
        <w:gridCol w:w="95"/>
        <w:gridCol w:w="60"/>
        <w:gridCol w:w="140"/>
        <w:gridCol w:w="1175"/>
        <w:gridCol w:w="95"/>
        <w:gridCol w:w="60"/>
        <w:gridCol w:w="140"/>
        <w:gridCol w:w="1100"/>
        <w:gridCol w:w="105"/>
      </w:tblGrid>
      <w:tr>
        <w:trPr/>
        <w:tc>
          <w:tcPr>
            <w:tcW w:w="4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w:t>
              <w:br/>
              <w:t>June 30, 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 June 30, 2023</w:t>
            </w:r>
          </w:p>
        </w:tc>
        <w:tc>
          <w:tcPr>
            <w:tcW w:w="105" w:type="dxa"/>
            <w:tcBorders/>
            <w:vAlign w:val="center"/>
          </w:tcPr>
          <w:p>
            <w:pPr>
              <w:pStyle w:val="TableContents"/>
              <w:bidi w:val="0"/>
              <w:spacing w:before="0" w:after="283"/>
              <w:jc w:val="center"/>
              <w:rPr/>
            </w:pPr>
            <w:r>
              <w:rPr/>
              <w:t> </w:t>
            </w:r>
          </w:p>
        </w:tc>
      </w:tr>
      <w:tr>
        <w:trPr/>
        <w:tc>
          <w:tcPr>
            <w:tcW w:w="4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05" w:type="dxa"/>
            <w:tcBorders/>
            <w:vAlign w:val="center"/>
          </w:tcPr>
          <w:p>
            <w:pPr>
              <w:pStyle w:val="TableContents"/>
              <w:bidi w:val="0"/>
              <w:spacing w:before="0" w:after="283"/>
              <w:ind w:left="0" w:right="0" w:hanging="180"/>
              <w:jc w:val="center"/>
              <w:rPr/>
            </w:pPr>
            <w:r>
              <w:rPr/>
              <w:t> </w:t>
            </w:r>
          </w:p>
        </w:tc>
      </w:tr>
      <w:tr>
        <w:trPr/>
        <w:tc>
          <w:tcPr>
            <w:tcW w:w="45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(4,161,449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(3,884,714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(10,559,163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(7,645,812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4540" w:type="dxa"/>
            <w:tcBorders/>
            <w:shd w:fill="FFFFFF" w:val="clear"/>
            <w:vAlign w:val="center"/>
          </w:tcPr>
          <w:p>
            <w:pPr>
              <w:pStyle w:val="TableContents"/>
              <w:bidi w:val="0"/>
              <w:spacing w:before="0" w:after="283"/>
              <w:jc w:val="left"/>
              <w:rPr/>
            </w:pPr>
            <w:r>
              <w:rPr/>
              <w:t>Depreciation, amortization and noncash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464,761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578,117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928,695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1,049,656</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45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3,503,123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4,025,323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7,883,626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7,199,421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4540" w:type="dxa"/>
            <w:tcBorders/>
            <w:shd w:fill="FFFFFF" w:val="clear"/>
            <w:vAlign w:val="center"/>
          </w:tcPr>
          <w:p>
            <w:pPr>
              <w:pStyle w:val="TableContents"/>
              <w:bidi w:val="0"/>
              <w:spacing w:before="0" w:after="283"/>
              <w:jc w:val="left"/>
              <w:rPr/>
            </w:pPr>
            <w:r>
              <w:rPr/>
              <w:t>Acquisition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19,739</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4540" w:type="dxa"/>
            <w:tcBorders/>
            <w:shd w:fill="CCEEFF" w:val="clear"/>
            <w:vAlign w:val="center"/>
          </w:tcPr>
          <w:p>
            <w:pPr>
              <w:pStyle w:val="TableContents"/>
              <w:bidi w:val="0"/>
              <w:spacing w:before="0" w:after="283"/>
              <w:jc w:val="left"/>
              <w:rPr/>
            </w:pPr>
            <w:r>
              <w:rPr/>
              <w:t>Non-GAAP 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(193,565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721,305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(1,746,842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623,004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4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4540" w:type="dxa"/>
            <w:tcBorders/>
            <w:shd w:fill="CCEEFF" w:val="clear"/>
            <w:vAlign w:val="center"/>
          </w:tcPr>
          <w:p>
            <w:pPr>
              <w:pStyle w:val="TableContents"/>
              <w:bidi w:val="0"/>
              <w:spacing w:before="0" w:after="283"/>
              <w:jc w:val="left"/>
              <w:rPr/>
            </w:pPr>
            <w:r>
              <w:rPr/>
              <w:t>Non-GAAP net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454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0.03</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454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454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16,992,100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18,122,500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17,043,793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18,000,958</w:t>
            </w:r>
          </w:p>
        </w:tc>
        <w:tc>
          <w:tcPr>
            <w:tcW w:w="1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2981</Words>
  <Characters>17288</Characters>
  <CharactersWithSpaces>20687</CharactersWithSpaces>
  <Paragraphs>1554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