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9,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00" w:type="dxa"/>
            <w:vAlign w:val="bottom"/>
            <w:gridSpan w:val="3"/>
          </w:tcPr>
          <w:p>
            <w:pPr>
              <w:ind w:left="1580"/>
              <w:spacing w:after="0"/>
              <w:rPr>
                <w:sz w:val="20"/>
                <w:szCs w:val="20"/>
                <w:color w:val="auto"/>
              </w:rPr>
            </w:pPr>
            <w:r>
              <w:rPr>
                <w:rFonts w:ascii="Arial" w:cs="Arial" w:eastAsia="Arial" w:hAnsi="Arial"/>
                <w:sz w:val="18"/>
                <w:szCs w:val="18"/>
                <w:color w:val="auto"/>
              </w:rPr>
              <w:t>Nevada</w:t>
            </w:r>
          </w:p>
        </w:tc>
        <w:tc>
          <w:tcPr>
            <w:tcW w:w="294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26-1265381</w:t>
            </w:r>
          </w:p>
        </w:tc>
      </w:tr>
      <w:tr>
        <w:trPr>
          <w:trHeight w:val="202"/>
        </w:trPr>
        <w:tc>
          <w:tcPr>
            <w:tcW w:w="3720" w:type="dxa"/>
            <w:vAlign w:val="bottom"/>
            <w:tcBorders>
              <w:top w:val="single" w:sz="8" w:color="auto"/>
            </w:tcBorders>
          </w:tcPr>
          <w:p>
            <w:pPr>
              <w:ind w:left="900"/>
              <w:spacing w:after="0" w:line="201" w:lineRule="exact"/>
              <w:rPr>
                <w:sz w:val="20"/>
                <w:szCs w:val="20"/>
                <w:color w:val="auto"/>
              </w:rPr>
            </w:pPr>
            <w:r>
              <w:rPr>
                <w:rFonts w:ascii="Arial" w:cs="Arial" w:eastAsia="Arial" w:hAnsi="Arial"/>
                <w:sz w:val="18"/>
                <w:szCs w:val="18"/>
                <w:color w:val="auto"/>
              </w:rPr>
              <w:t>(State or other jurisdiction</w:t>
            </w: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0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color w:val="auto"/>
                <w:w w:val="93"/>
              </w:rPr>
              <w:t>400 Water Street, Suite 200, Rochester, MI</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48307</w:t>
            </w:r>
          </w:p>
        </w:tc>
      </w:tr>
      <w:tr>
        <w:trPr>
          <w:trHeight w:val="230"/>
        </w:trPr>
        <w:tc>
          <w:tcPr>
            <w:tcW w:w="4500" w:type="dxa"/>
            <w:vAlign w:val="bottom"/>
            <w:gridSpan w:val="3"/>
          </w:tcPr>
          <w:p>
            <w:pPr>
              <w:ind w:left="1380"/>
              <w:spacing w:after="0"/>
              <w:rPr>
                <w:sz w:val="20"/>
                <w:szCs w:val="20"/>
                <w:color w:val="auto"/>
              </w:rPr>
            </w:pPr>
            <w:r>
              <w:rPr>
                <w:rFonts w:ascii="Arial" w:cs="Arial" w:eastAsia="Arial" w:hAnsi="Arial"/>
                <w:sz w:val="18"/>
                <w:szCs w:val="18"/>
                <w:color w:val="auto"/>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151765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9, 2020, we issued a press release announcing that we are delivering CDC Coronavirus alerts to thousands of healthcare providers nationwide.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March 9, 2020</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2020</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165735</wp:posOffset>
            </wp:positionV>
            <wp:extent cx="188595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Digital Health Network Now Delivering CDC Coronavirus Alerts to Thousands of Healthcare Providers Nationwide</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ROCHESTER, Mich. – March 9, 2020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payers, has integrated alerts from the Centers for Disease Control and Prevention (CDC) for Coronavirus (COVID-19) into its digital heath information network deployed by leading electronic health record (EHR) providers nationwide.</w:t>
      </w:r>
    </w:p>
    <w:p>
      <w:pPr>
        <w:spacing w:after="0" w:line="11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the spread of the virus continues to impact people’s health and lives, reliable and relevant health communications is playing a key role in supporting providers and patients in the U.S. healthcare system. This new utilization of the OptimizeRx platform connects information from the CDC specifically to support health care providers (HCPs) as they monitor the evolution and containment of COVID-19.</w:t>
      </w:r>
    </w:p>
    <w:p>
      <w:pPr>
        <w:spacing w:after="0" w:line="11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new alerts are helping providers at hospitals and healthcare systems stay connected with the latest information within their workflow, enabling them to make most informed decisions. The CDC alerts are providing timely, critical information to help HCPs better monitor the spread of the virus and facilitate timely treatment at the point of care.</w:t>
      </w:r>
    </w:p>
    <w:p>
      <w:pPr>
        <w:spacing w:after="0" w:line="1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the number of new COVID-19 cases continues to grow daily, it is vital that providers have the most up-to-date information on the virus when treating patients,” noted William Febbo, OptimizeRx’s CEO. “Timely CDC messages within the OptimizeRx digital health platform at the point-of-care raises awareness at a critical time and location where health decisions are being made.”</w:t>
      </w:r>
    </w:p>
    <w:p>
      <w:pPr>
        <w:spacing w:after="0" w:line="11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OptimizeRx has the unique ability to reach and educate HCPs through its nationwide digital health network which is transmitted through the country’s largest EHR channels. OptimizeRx’s EHR channel partners participating in this effort have already enabled reach to thousands of HCPs nationwide. Together, they are delivering on the company’s mission to support more informed patient-provider conversations and better health outcomes.</w:t>
      </w:r>
    </w:p>
    <w:p>
      <w:pPr>
        <w:spacing w:after="0" w:line="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healthcare professional, I know how important it is to understand how this new virus works and have timely information available within the EHR during evaluation and treatment,” commented Jack Pinney, M.D., a board-certified family physician who serves as the medical director of WellSport Medicine at MidMichigan Health. “These new CDC COVID-19 alerts within the care workflow highlight the critical importance of digital connectivity for the benefit of patients and our communities.”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1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1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(754) 245 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2020-03-09T09:46:08Z</dcterms:created>
  <dcterms:modified xsi:type="dcterms:W3CDTF">2020-03-09T09:46:08Z</dcterms:modified>
</cp:coreProperties>
</file>