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6, 2015</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OptimizeRx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Nevada</w:t>
            </w:r>
          </w:p>
        </w:tc>
        <w:tc>
          <w:tcPr>
            <w:tcW w:w="3640" w:type="dxa"/>
            <w:vAlign w:val="bottom"/>
          </w:tcPr>
          <w:p>
            <w:pPr>
              <w:jc w:val="right"/>
              <w:ind w:right="1330"/>
              <w:spacing w:after="0"/>
              <w:rPr>
                <w:sz w:val="20"/>
                <w:szCs w:val="20"/>
                <w:color w:val="auto"/>
              </w:rPr>
            </w:pPr>
            <w:r>
              <w:rPr>
                <w:rFonts w:ascii="Arial" w:cs="Arial" w:eastAsia="Arial" w:hAnsi="Arial"/>
                <w:sz w:val="18"/>
                <w:szCs w:val="18"/>
                <w:b w:val="1"/>
                <w:bCs w:val="1"/>
                <w:color w:val="auto"/>
              </w:rPr>
              <w:t>000-53605</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3660" w:type="dxa"/>
            <w:vAlign w:val="bottom"/>
            <w:tcBorders>
              <w:top w:val="single" w:sz="8" w:color="auto"/>
            </w:tcBorders>
          </w:tcPr>
          <w:p>
            <w:pPr>
              <w:ind w:left="780"/>
              <w:spacing w:after="0" w:line="201" w:lineRule="exact"/>
              <w:rPr>
                <w:sz w:val="20"/>
                <w:szCs w:val="20"/>
                <w:color w:val="auto"/>
              </w:rPr>
            </w:pPr>
            <w:r>
              <w:rPr>
                <w:rFonts w:ascii="Arial" w:cs="Arial" w:eastAsia="Arial" w:hAnsi="Arial"/>
                <w:sz w:val="18"/>
                <w:szCs w:val="18"/>
                <w:color w:val="auto"/>
              </w:rPr>
              <w:t>(State or other jurisdiction of</w:t>
            </w:r>
          </w:p>
        </w:tc>
        <w:tc>
          <w:tcPr>
            <w:tcW w:w="240" w:type="dxa"/>
            <w:vAlign w:val="bottom"/>
          </w:tcPr>
          <w:p>
            <w:pPr>
              <w:spacing w:after="0"/>
              <w:rPr>
                <w:sz w:val="17"/>
                <w:szCs w:val="17"/>
                <w:color w:val="auto"/>
              </w:rPr>
            </w:pPr>
          </w:p>
        </w:tc>
        <w:tc>
          <w:tcPr>
            <w:tcW w:w="366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incorporation)</w:t>
            </w:r>
          </w:p>
        </w:tc>
        <w:tc>
          <w:tcPr>
            <w:tcW w:w="3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7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3640" w:type="dxa"/>
            <w:vAlign w:val="bottom"/>
          </w:tcPr>
          <w:p>
            <w:pPr>
              <w:jc w:val="right"/>
              <w:ind w:right="1510"/>
              <w:spacing w:after="0"/>
              <w:rPr>
                <w:sz w:val="20"/>
                <w:szCs w:val="20"/>
                <w:color w:val="auto"/>
              </w:rPr>
            </w:pPr>
            <w:r>
              <w:rPr>
                <w:rFonts w:ascii="Arial" w:cs="Arial" w:eastAsia="Arial" w:hAnsi="Arial"/>
                <w:sz w:val="18"/>
                <w:szCs w:val="18"/>
                <w:b w:val="1"/>
                <w:bCs w:val="1"/>
                <w:color w:val="auto"/>
              </w:rPr>
              <w:t>48307</w:t>
            </w:r>
          </w:p>
        </w:tc>
      </w:tr>
      <w:tr>
        <w:trPr>
          <w:trHeight w:val="230"/>
        </w:trPr>
        <w:tc>
          <w:tcPr>
            <w:tcW w:w="75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August 6, 2015, we issued a press release announcing the results of operations for the quarter ended June 30, 2015.</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99.1</w:t>
            </w:r>
          </w:p>
        </w:tc>
        <w:tc>
          <w:tcPr>
            <w:tcW w:w="240" w:type="dxa"/>
            <w:vAlign w:val="bottom"/>
            <w:tcBorders>
              <w:top w:val="single" w:sz="8" w:color="CCEEFF"/>
            </w:tcBorders>
            <w:shd w:val="clear" w:color="auto" w:fill="CCEEFF"/>
          </w:tcPr>
          <w:p>
            <w:pPr>
              <w:spacing w:after="0"/>
              <w:rPr>
                <w:sz w:val="18"/>
                <w:szCs w:val="18"/>
                <w:color w:val="auto"/>
              </w:rPr>
            </w:pPr>
          </w:p>
        </w:tc>
        <w:tc>
          <w:tcPr>
            <w:tcW w:w="10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Press release, dated August 6 2015</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6, 2015</w:t>
      </w:r>
      <w:r>
        <w:rPr>
          <w:sz w:val="20"/>
          <w:szCs w:val="20"/>
          <w:color w:val="auto"/>
        </w:rPr>
        <w:tab/>
      </w:r>
      <w:r>
        <w:rPr>
          <w:rFonts w:ascii="Arial" w:cs="Arial" w:eastAsia="Arial" w:hAnsi="Arial"/>
          <w:sz w:val="16"/>
          <w:szCs w:val="16"/>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87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OptimizeRx Corporation Announces Earnings Call Details</w:t>
      </w:r>
    </w:p>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ROCHESTER, MI – August 6, 2016 -- OptimizeRx Corp. (OTCQB: OPRX) announced that it will hold its earnings call on Tuesday, August 11, 2015 at 4:30 pm Eastern Time. The call details 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 (866) 593-0056 or toll: +1 (937) 641-0554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Provide Conference ID: 5225323 to the operator.</w:t>
      </w:r>
    </w:p>
    <w:p>
      <w:pPr>
        <w:spacing w:after="0" w:line="215" w:lineRule="exact"/>
        <w:rPr>
          <w:sz w:val="20"/>
          <w:szCs w:val="20"/>
          <w:color w:val="auto"/>
        </w:rPr>
      </w:pPr>
    </w:p>
    <w:p>
      <w:pPr>
        <w:ind w:right="3420"/>
        <w:spacing w:after="0" w:line="303" w:lineRule="auto"/>
        <w:rPr>
          <w:sz w:val="20"/>
          <w:szCs w:val="20"/>
          <w:color w:val="auto"/>
        </w:rPr>
      </w:pPr>
      <w:r>
        <w:rPr>
          <w:rFonts w:ascii="Arial" w:cs="Arial" w:eastAsia="Arial" w:hAnsi="Arial"/>
          <w:sz w:val="18"/>
          <w:szCs w:val="18"/>
          <w:color w:val="auto"/>
        </w:rPr>
        <w:t>During the call, the Company will discuss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Quarter results and 2015 activity, including recent developments The Company expects to file its quarterly report on Form 10Q on August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prior to the call. About OptimizeRx Corp</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OptimizeRx Corporation (OTCQB: OPRX) provides unique consumer and physician platforms to help patients better afford and comply with their medicines and healthcare products, while offering pharmaceutical and healthcare companies effective ways to expand awareness, access and adherence to their medications.</w:t>
      </w:r>
    </w:p>
    <w:p>
      <w:pPr>
        <w:spacing w:after="0" w:line="107"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 xml:space="preserve">Our core product, SampleMD, replaces drug samples with electronic trial vouchers and copay coupon savings that are electronically added to an e-Prescription and sent electronically to the pharmacy and is integrated within leading Electronic Health Record (EHR) platforms in the country, including Allscripts, Quest Diagnostics, Practice Fusion and over 350 other EHRs to reach over 250,000 healthcare providers. In turn, we promote patients savings and support from the world’s largest pharmaceutical companies, including Pfizer, Lilly, Novartis, AstraZeneca and many others. For more information, please go to </w:t>
      </w:r>
      <w:r>
        <w:rPr>
          <w:rFonts w:ascii="Arial" w:cs="Arial" w:eastAsia="Arial" w:hAnsi="Arial"/>
          <w:sz w:val="18"/>
          <w:szCs w:val="18"/>
          <w:u w:val="single" w:color="auto"/>
          <w:color w:val="auto"/>
        </w:rPr>
        <w:t>www.optimizerxcorp.com.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2019-12-08T21:35:24Z</dcterms:created>
  <dcterms:modified xsi:type="dcterms:W3CDTF">2019-12-08T21:35:24Z</dcterms:modified>
</cp:coreProperties>
</file>