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20" w:type="dxa"/>
            <w:vAlign w:val="bottom"/>
            <w:gridSpan w:val="5"/>
          </w:tcPr>
          <w:p>
            <w:pPr>
              <w:jc w:val="center"/>
              <w:ind w:right="152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52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5"/>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36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8140" w:type="dxa"/>
            <w:vAlign w:val="bottom"/>
            <w:gridSpan w:val="8"/>
          </w:tcPr>
          <w:p>
            <w:pPr>
              <w:jc w:val="center"/>
              <w:ind w:left="3210"/>
              <w:spacing w:after="0"/>
              <w:rPr>
                <w:sz w:val="20"/>
                <w:szCs w:val="20"/>
                <w:color w:val="auto"/>
              </w:rPr>
            </w:pPr>
            <w:r>
              <w:rPr>
                <w:rFonts w:ascii="Arial" w:cs="Arial" w:eastAsia="Arial" w:hAnsi="Arial"/>
                <w:sz w:val="18"/>
                <w:szCs w:val="18"/>
                <w:color w:val="auto"/>
                <w:w w:val="90"/>
              </w:rPr>
              <w:t>Date of Report (Date of earliest event reported): October 4, 2019</w:t>
            </w:r>
          </w:p>
        </w:tc>
        <w:tc>
          <w:tcPr>
            <w:tcW w:w="3280" w:type="dxa"/>
            <w:vAlign w:val="bottom"/>
          </w:tcPr>
          <w:p>
            <w:pPr>
              <w:spacing w:after="0"/>
              <w:rPr>
                <w:sz w:val="24"/>
                <w:szCs w:val="24"/>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gridSpan w:val="4"/>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360" w:type="dxa"/>
            <w:vAlign w:val="bottom"/>
            <w:gridSpan w:val="7"/>
          </w:tcPr>
          <w:p>
            <w:pPr>
              <w:jc w:val="center"/>
              <w:ind w:right="4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140" w:type="dxa"/>
            <w:vAlign w:val="bottom"/>
            <w:gridSpan w:val="8"/>
          </w:tcPr>
          <w:p>
            <w:pPr>
              <w:jc w:val="center"/>
              <w:ind w:right="60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80" w:type="dxa"/>
            <w:vAlign w:val="bottom"/>
            <w:gridSpan w:val="5"/>
          </w:tcPr>
          <w:p>
            <w:pPr>
              <w:spacing w:after="0"/>
              <w:rPr>
                <w:sz w:val="20"/>
                <w:szCs w:val="20"/>
                <w:color w:val="auto"/>
              </w:rPr>
            </w:pPr>
            <w:r>
              <w:rPr>
                <w:rFonts w:ascii="Arial" w:cs="Arial" w:eastAsia="Arial" w:hAnsi="Arial"/>
                <w:sz w:val="18"/>
                <w:szCs w:val="18"/>
                <w:color w:val="auto"/>
                <w:w w:val="93"/>
              </w:rPr>
              <w:t>revised financial accounting standards provided pursuant to Section 13(a) of the Exchange Act.</w:t>
            </w:r>
          </w:p>
        </w:tc>
        <w:tc>
          <w:tcPr>
            <w:tcW w:w="43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3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7"/>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352"/>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previously disclosed, On September 5, 2019, OptimizeRx Corp. (the “Company”) entered into an Agreement and Plan of Merger (the “Merger Agreement”) with OptimizeRX Digital Therapeutics, Inc., a Delaware corporation and wholly-owned subsidiary of the Company (“MergerCo”), and RMDY Health, Inc. (“RMDY”), pursuant to which the Company will acquire RMDY for approximately $16 million (subject to adjustment for net working capital and other customary adjustments, the “Merger Consideration”), by merging MergerCo with and into RMDY, with RMDY continuing as the surviving entity and wholly owned subsidiary of the Company (the “Merger”).</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Pursuant to the Merger Agreement, and subject to the terms and conditions set forth therein, at the closing of the Merger (the “Closing”), each of RMDY’s outstanding shares (including common and preferred shares) and applicable equity awards (including in-the-money options and warrants) will be converted into the right to receive the applicable portion of the Merger Consideration. Fifty percent of the Merger Consideration will be paid in cash and the other fifty percent will be paid in shares of the Company’s common stock, with the actual number of such shares to be issued determined as the quotient obtained by dividing fifty percent of the Merger Consideration by the volume-weighted average trading price of the Company’s stock as reported by NASDAQ for the thirty (30) consecutive trading days ending on the day immediately preceding the Closing. A portion of the Merger Consideration will be held in an escrow fund for the purposes of satisfying certain indemnification obligations of the equity holders.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4, 2019, the Company completed the acquisition of RMDY. As a result of the Closing, RMDY became a wholly-owned subsidiary of the Company. For the acquisition, the Company paid the Merger Consideration, consisting of approximately $16 million, and subject to further adjustment based on the final working capital determination as of the closing date. The price was paid in cash and stock as set forth in the Merger Agreement. Approximately $8.7 million of cash was paid at closing and 382,893 shares of common stock will be issued in October 2019. Additional shares may be issued upon eventual release of the escrow amounts.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Merger Agreement has been included to provide investors with information regarding its terms. The representations, warranties, and covenants contained in the Merger Agreement were made only for the purposes of the Merger Agreement, were made as of specific dates, were made solely for the benefit of the parties to the Merger Agreement, and may not have been intended to be statements of fact, but rather as a method of allocating risk and governing the contractual rights and relationships among the parties to the Merger Agreement. In addition, such representations, warranties, and covenants may have been qualified by certain disclosures not reflected in the text of the Merger Agreement and may apply standards of materiality and other qualifications and limitations in a way that is different from what may be viewed as material by the Company’s shareholders. None of the Company’s shareholders or any other third party should rely on the representations, warranties, and covenants, or any descriptions thereof, as characterizations of the actual state of facts or conditions of the Company, the Company, Merger Sub,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that is or will be contained in, or incorporated by reference into, the Forms 10-K, Forms 10-Q, Forms 8-K, and other documents that the Company files or has filed with the SEC.</w:t>
      </w:r>
    </w:p>
    <w:p>
      <w:pPr>
        <w:spacing w:after="0" w:line="18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foregoing descriptions of the Merger Agreement and the Merger are summaries, do not purport to be complete, and are qualified in their entirety by reference to the full text of the Merger Agreement, and the exhibits attached thereto, a copy of which is attached as Exhibit 2.1 to the Current Report on Form 8-K filed with the Securities and Exchange Commission on September 9, 2019 and incorporated by reference herein.</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disclosed under Item 2.01 of this Current Report is incorporated herein by reference.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issuance of the Merger Consideration consisting of the Company’s common stock upon the closing of the Merger is expected to be made in in reliance on the exemption afforded by Section 4(a)(2) of the Securities Act of 1933, as amended (the “Securities Act”), and Rule 506 of Regulation D promulgated under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right="340"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 The financial statements of RMDY required by Item 9.01(a) to this Current Report on Form 8-K will be filed by amendment within 71 calendar days after the date this report on Form 8-K must be filed.</w:t>
      </w:r>
    </w:p>
    <w:p>
      <w:pPr>
        <w:spacing w:after="0" w:line="170" w:lineRule="exact"/>
        <w:rPr>
          <w:rFonts w:ascii="Arial" w:cs="Arial" w:eastAsia="Arial" w:hAnsi="Arial"/>
          <w:sz w:val="18"/>
          <w:szCs w:val="18"/>
          <w:color w:val="auto"/>
        </w:rPr>
      </w:pPr>
    </w:p>
    <w:p>
      <w:pPr>
        <w:ind w:right="5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The pro forma financial information required by Item 9.01(b) to this Current Report on Form 8-K will be filed by amendment within 71 calendar days after the date this report on Form 8-K must be filed.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9"/>
        </w:trPr>
        <w:tc>
          <w:tcPr>
            <w:tcW w:w="15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5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982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r:id="rId12">
              <w:r>
                <w:rPr>
                  <w:rFonts w:ascii="Arial" w:cs="Arial" w:eastAsia="Arial" w:hAnsi="Arial"/>
                  <w:sz w:val="18"/>
                  <w:szCs w:val="18"/>
                  <w:color w:val="0000EE"/>
                </w:rPr>
                <w:t>Agreement and Plan of Merger, dated September 5, 2019(1)</w:t>
              </w:r>
            </w:hyperlink>
          </w:p>
        </w:tc>
      </w:tr>
      <w:tr>
        <w:trPr>
          <w:trHeight w:val="21"/>
        </w:trPr>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0000EE"/>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Incorporated by reference to Exhibit 2.1 of the Current Report filed on September 9, 2019 with the Securities and Exchange Commission.</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2019</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2" Type="http://schemas.openxmlformats.org/officeDocument/2006/relationships/hyperlink" Target="http://www.sec.gov/Archives/edgar/data/1448431/000121390019017468/f8k090519ex2-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2019-12-28T05:47:44Z</dcterms:created>
  <dcterms:modified xsi:type="dcterms:W3CDTF">2019-12-28T05:47:44Z</dcterms:modified>
</cp:coreProperties>
</file>