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10870-8k_optimize.htm"/>
      <w:bookmarkStart w:id="1" w:name="ksea02108708k_optimize"/>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40808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8,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D_edei--EntityRegistrantName_c2024"/>
      <w:bookmarkEnd w:id="4"/>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1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1_edei--EntityFileNumber_c20240808"/>
            <w:bookmarkEnd w:id="6"/>
            <w:r>
              <w:rPr>
                <w:b/>
                <w:sz w:val="20"/>
              </w:rPr>
              <w:t>001-38543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7_edei--EntityTaxIdentificationNum"/>
            <w:bookmarkEnd w:id="7"/>
            <w:r>
              <w:rPr>
                <w:b/>
                <w:sz w:val="20"/>
              </w:rPr>
              <w:t>26-1265381</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3755"/>
        <w:gridCol w:w="60"/>
        <w:gridCol w:w="920"/>
      </w:tblGrid>
      <w:tr>
        <w:trPr/>
        <w:tc>
          <w:tcPr>
            <w:tcW w:w="3755" w:type="dxa"/>
            <w:tcBorders>
              <w:bottom w:val="single" w:sz="12" w:space="0" w:color="000000"/>
            </w:tcBorders>
            <w:vAlign w:val="center"/>
          </w:tcPr>
          <w:p>
            <w:pPr>
              <w:pStyle w:val="TableContents"/>
              <w:bidi w:val="0"/>
              <w:spacing w:before="0" w:after="283"/>
              <w:jc w:val="center"/>
              <w:rPr>
                <w:b/>
                <w:sz w:val="20"/>
              </w:rPr>
            </w:pPr>
            <w:bookmarkStart w:id="8" w:name="xdx_900_edei--EntityAddressAddressLine1_"/>
            <w:bookmarkEnd w:id="8"/>
            <w:r>
              <w:rPr>
                <w:b/>
                <w:sz w:val="20"/>
              </w:rPr>
              <w:t xml:space="preserve">260 Charles Street, </w:t>
            </w:r>
            <w:bookmarkStart w:id="9" w:name="xdx_903_edei--EntityAddressAddressLine2_"/>
            <w:bookmarkEnd w:id="9"/>
            <w:r>
              <w:rPr>
                <w:b/>
                <w:sz w:val="20"/>
              </w:rPr>
              <w:t xml:space="preserve">Suite 302, </w:t>
            </w:r>
            <w:bookmarkStart w:id="10" w:name="xdx_90E_edei--EntityAddressCityOrTown_c2"/>
            <w:bookmarkEnd w:id="10"/>
            <w:r>
              <w:rPr>
                <w:b/>
                <w:sz w:val="20"/>
              </w:rPr>
              <w:t xml:space="preserve">Waltham, </w:t>
            </w:r>
            <w:bookmarkStart w:id="11" w:name="xdx_906_edei--EntityAddressStateOrProvin"/>
            <w:bookmarkEnd w:id="11"/>
            <w:r>
              <w:rPr>
                <w:b/>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7_edei--EntityAddressPostalZipCode"/>
            <w:bookmarkEnd w:id="12"/>
            <w:r>
              <w:rPr>
                <w:b/>
                <w:sz w:val="20"/>
              </w:rPr>
              <w:t>02453</w:t>
            </w:r>
          </w:p>
        </w:tc>
      </w:tr>
      <w:tr>
        <w:trPr/>
        <w:tc>
          <w:tcPr>
            <w:tcW w:w="375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2_edei--CityAreaCode_c20240808__20"/>
      <w:bookmarkEnd w:id="13"/>
      <w:r>
        <w:rPr>
          <w:rFonts w:ascii="Times New Roman;Times;Serif" w:hAnsi="Times New Roman;Times;Serif"/>
          <w:b/>
          <w:i w:val="false"/>
          <w:caps w:val="false"/>
          <w:smallCaps w:val="false"/>
          <w:sz w:val="20"/>
          <w:u w:val="single"/>
        </w:rPr>
        <w:t>248.</w:t>
      </w:r>
      <w:bookmarkStart w:id="14" w:name="xdx_907_edei--LocalPhoneNumber_c20240808"/>
      <w:bookmarkEnd w:id="14"/>
      <w:r>
        <w:rPr>
          <w:rFonts w:ascii="Times New Roman;Times;Serif" w:hAnsi="Times New Roman;Times;Serif"/>
          <w:b/>
          <w:i w:val="false"/>
          <w:caps w:val="false"/>
          <w:smallCaps w:val="false"/>
          <w:sz w:val="20"/>
          <w:u w:val="single"/>
        </w:rPr>
        <w:t>651.6568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4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5_edei--SolicitingMaterial_c202408"/>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2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20" w:type="dxa"/>
        <w:jc w:val="left"/>
        <w:tblInd w:w="0" w:type="dxa"/>
        <w:tblLayout w:type="fixed"/>
        <w:tblCellMar>
          <w:top w:w="0" w:type="dxa"/>
          <w:left w:w="0" w:type="dxa"/>
          <w:bottom w:w="28" w:type="dxa"/>
          <w:right w:w="0" w:type="dxa"/>
        </w:tblCellMar>
      </w:tblPr>
      <w:tblGrid>
        <w:gridCol w:w="2780"/>
        <w:gridCol w:w="60"/>
        <w:gridCol w:w="1610"/>
        <w:gridCol w:w="60"/>
        <w:gridCol w:w="3710"/>
      </w:tblGrid>
      <w:tr>
        <w:trPr/>
        <w:tc>
          <w:tcPr>
            <w:tcW w:w="27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sz w:val="20"/>
              </w:rPr>
            </w:pPr>
            <w:bookmarkStart w:id="19" w:name="xdx_904_edei--Security12bTitle_c20240808"/>
            <w:bookmarkEnd w:id="19"/>
            <w:r>
              <w:rPr>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D_edei--TradingSymbol_c20240808__2"/>
            <w:bookmarkEnd w:id="20"/>
            <w:r>
              <w:rPr>
                <w:sz w:val="20"/>
              </w:rPr>
              <w:t>OPRX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C_edei--SecurityExchangeName_c2024"/>
            <w:bookmarkEnd w:id="21"/>
            <w:r>
              <w:rPr>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2024, OptimizeRx Corporation issued a press release announcing its financial results for the second quarter ended June 30, 2024. A copy of the press release is furnished with this Current Report on Form 8-K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695"/>
        <w:gridCol w:w="60"/>
        <w:gridCol w:w="6530"/>
      </w:tblGrid>
      <w:tr>
        <w:trPr/>
        <w:tc>
          <w:tcPr>
            <w:tcW w:w="695" w:type="dxa"/>
            <w:tcBorders>
              <w:bottom w:val="single" w:sz="12" w:space="0" w:color="000000"/>
            </w:tcBorders>
            <w:vAlign w:val="center"/>
          </w:tcPr>
          <w:p>
            <w:pPr>
              <w:pStyle w:val="TableContents"/>
              <w:bidi w:val="0"/>
              <w:spacing w:before="0" w:after="283"/>
              <w:jc w:val="left"/>
              <w:rPr>
                <w:sz w:val="20"/>
              </w:rPr>
            </w:pPr>
            <w:r>
              <w:rPr>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6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1087001ex99-1_optimize.htm">
              <w:r>
                <w:rPr>
                  <w:rStyle w:val="InternetLink"/>
                  <w:sz w:val="20"/>
                </w:rPr>
                <w:t>Press Release, dated August 8, 2024</w:t>
              </w:r>
            </w:hyperlink>
          </w:p>
        </w:tc>
      </w:tr>
      <w:tr>
        <w:trPr/>
        <w:tc>
          <w:tcPr>
            <w:tcW w:w="6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569" w:type="dxa"/>
        <w:jc w:val="left"/>
        <w:tblInd w:w="0" w:type="dxa"/>
        <w:tblLayout w:type="fixed"/>
        <w:tblCellMar>
          <w:top w:w="0" w:type="dxa"/>
          <w:left w:w="0" w:type="dxa"/>
          <w:bottom w:w="0" w:type="dxa"/>
          <w:right w:w="0" w:type="dxa"/>
        </w:tblCellMar>
      </w:tblPr>
      <w:tblGrid>
        <w:gridCol w:w="1760"/>
        <w:gridCol w:w="705"/>
        <w:gridCol w:w="2104"/>
      </w:tblGrid>
      <w:tr>
        <w:trPr/>
        <w:tc>
          <w:tcPr>
            <w:tcW w:w="1760"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b/>
                <w:sz w:val="20"/>
              </w:rPr>
            </w:pPr>
            <w:r>
              <w:rPr>
                <w:b/>
                <w:sz w:val="20"/>
              </w:rPr>
              <w:t>OPTIMIZERX CORPORATION</w:t>
            </w:r>
          </w:p>
        </w:tc>
      </w:tr>
      <w:tr>
        <w:trPr/>
        <w:tc>
          <w:tcPr>
            <w:tcW w:w="17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8, 2024</w:t>
            </w:r>
          </w:p>
        </w:tc>
        <w:tc>
          <w:tcPr>
            <w:tcW w:w="705" w:type="dxa"/>
            <w:tcBorders/>
            <w:vAlign w:val="center"/>
          </w:tcPr>
          <w:p>
            <w:pPr>
              <w:pStyle w:val="TableContents"/>
              <w:bidi w:val="0"/>
              <w:spacing w:before="0" w:after="283"/>
              <w:jc w:val="left"/>
              <w:rPr>
                <w:sz w:val="20"/>
              </w:rPr>
            </w:pPr>
            <w:r>
              <w:rPr>
                <w:sz w:val="20"/>
              </w:rPr>
              <w:t xml:space="preserve">By: </w:t>
            </w:r>
          </w:p>
        </w:tc>
        <w:tc>
          <w:tcPr>
            <w:tcW w:w="210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r>
      <w:tr>
        <w:trPr/>
        <w:tc>
          <w:tcPr>
            <w:tcW w:w="1760" w:type="dxa"/>
            <w:tcBorders/>
            <w:vAlign w:val="center"/>
          </w:tcPr>
          <w:p>
            <w:pPr>
              <w:pStyle w:val="TableContents"/>
              <w:bidi w:val="0"/>
              <w:spacing w:before="0" w:after="283"/>
              <w:jc w:val="both"/>
              <w:rPr/>
            </w:pPr>
            <w:r>
              <w:rPr/>
              <w:t> </w:t>
            </w:r>
          </w:p>
        </w:tc>
        <w:tc>
          <w:tcPr>
            <w:tcW w:w="705" w:type="dxa"/>
            <w:tcBorders/>
            <w:vAlign w:val="center"/>
          </w:tcPr>
          <w:p>
            <w:pPr>
              <w:pStyle w:val="TableContents"/>
              <w:bidi w:val="0"/>
              <w:spacing w:before="0" w:after="283"/>
              <w:jc w:val="both"/>
              <w:rPr>
                <w:sz w:val="20"/>
              </w:rPr>
            </w:pPr>
            <w:r>
              <w:rPr>
                <w:sz w:val="20"/>
              </w:rPr>
              <w:t xml:space="preserve">Name:  </w:t>
            </w:r>
          </w:p>
        </w:tc>
        <w:tc>
          <w:tcPr>
            <w:tcW w:w="2104" w:type="dxa"/>
            <w:tcBorders/>
            <w:vAlign w:val="center"/>
          </w:tcPr>
          <w:p>
            <w:pPr>
              <w:pStyle w:val="TableContents"/>
              <w:bidi w:val="0"/>
              <w:spacing w:before="0" w:after="283"/>
              <w:jc w:val="both"/>
              <w:rPr>
                <w:sz w:val="20"/>
              </w:rPr>
            </w:pPr>
            <w:r>
              <w:rPr>
                <w:sz w:val="20"/>
              </w:rPr>
              <w:t>Edward Stelmakh</w:t>
            </w:r>
          </w:p>
        </w:tc>
      </w:tr>
      <w:tr>
        <w:trPr/>
        <w:tc>
          <w:tcPr>
            <w:tcW w:w="17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sz w:val="20"/>
              </w:rPr>
            </w:pPr>
            <w:r>
              <w:rPr>
                <w:sz w:val="20"/>
              </w:rPr>
              <w:t xml:space="preserve">Title: </w:t>
            </w:r>
          </w:p>
        </w:tc>
        <w:tc>
          <w:tcPr>
            <w:tcW w:w="2104"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1087001ex99-1_optimize.htm"/>
      <w:bookmarkStart w:id="24" w:name="ksea021087001ex991_optimize"/>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765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953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OptimizeRx Reports Second Quarter 2024 Financial Results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Q2 revenue of $18.8 million, increasing 36% year-over-year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Q2 gross profit increased 50% year-over-year to $11.7 million with a gross margin of 62%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Won 8 DAAP deals during Q2</w:t>
      </w:r>
    </w:p>
    <w:p>
      <w:pPr>
        <w:pStyle w:val="TextBody"/>
        <w:bidi w:val="0"/>
        <w:spacing w:before="0" w:after="0"/>
        <w:ind w:left="0" w:right="0" w:firstLine="9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WALTHAM, Mass. – August 8, 2024 –</w:t>
      </w:r>
      <w:r>
        <w:rPr>
          <w:rFonts w:ascii="Times New Roman;Times;Serif" w:hAnsi="Times New Roman;Times;Serif"/>
          <w:b w:val="false"/>
          <w:i w:val="false"/>
          <w:caps w:val="false"/>
          <w:smallCaps w:val="false"/>
          <w:sz w:val="20"/>
        </w:rPr>
        <w:t xml:space="preserve"> OptimizeRx Corp. (the “Company”) (Nasdaq: OPRX), the leading provider of healthcare technology solutions helping life sciences companies reach and engage healthcare professionals (HCPs) and patients, reported results for the three months ended June 30, 2024. Quarterly comparisons are to the same year-ago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Financial Highlights </w:t>
      </w:r>
    </w:p>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in the second quarter of 2024 increased 36% to $18.8 million, as compared to $13.8 million in the same year ago period.</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profit in the second quarter of 2024 increased 50% year-over-year to $11.7 million, from $7.8 million during the second quarter of 2023.</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GAAP net loss totaled $(4.0) million or $(0.22) per basic and diluted share in the second quarter, as compared to $(4.1) million or $(0.24) during the second quarter of 2023.</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Non-GAAP net income in the second quarter totaled $0.3 million, or $0.02 per diluted share, as compared to non-GAAP net loss of $(0.2) million or $(0.01) per diluted share during the second quarter of 2023 (see definition of these non-GAAP measures and reconciliation to GAAP below).</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for the second quarter of 2024 came in at $0.5 million compared to $(0.8) million in the same year ago period (see definition of this non-GAAP measure and reconciliation to GAAP below).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cash equivalents and short-term investments totaled $15.0 million as of June 30, 2024 as compared to $13.9 million as of December 31, 2023.</w:t>
            </w:r>
          </w:p>
        </w:tc>
      </w:tr>
    </w:tbl>
    <w:p>
      <w:pPr>
        <w:pStyle w:val="TextBody"/>
        <w:bidi w:val="0"/>
        <w:spacing w:before="0" w:after="0"/>
        <w:ind w:left="36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Febbo, OptimizeRx CEO commented, “In the second quarter, revenue came in short of our expectations and consensus midpoint while adjusted EBITDA came in above consensus. This was primarily a result of a timing issue with closing one of our largest DAAP deals. We are having success in converting our DAAP pipeline into closed deals; however, because DAAP is a new, innovative solution in the market, there are additional approvals at the pharma customer level required to close out all the items that would allow us to take the revenue in the quarter. To be more specific, one of our long-standing customers committed to moving forward with an approximately $6 million multi-brand DAAP program that was due to launch in the second quarter of 2024 and got slightly delayed in their internal approval process. Without this delay, I believe we would have exceeded consensus expectations both on the top and bottom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meantime, we’ve observed a significant distinction among our top 3 pharma clients, with an average revenue per client at approximately $9.7 million, compared to an average revenue of $2.7 million for our top 20 pharma clients. This highlights the value our top clients see in our DAAP solutions, as they continue to allocate larger portions of their commercial budgets to OptimizeRx. The strong performance with our top 3 customers signals robust market adoption of our evolving solutions, which we are leveraging across other accounts.”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72"/>
        <w:gridCol w:w="60"/>
        <w:gridCol w:w="582"/>
        <w:gridCol w:w="2259"/>
        <w:gridCol w:w="215"/>
        <w:gridCol w:w="60"/>
        <w:gridCol w:w="564"/>
        <w:gridCol w:w="2259"/>
        <w:gridCol w:w="234"/>
      </w:tblGrid>
      <w:tr>
        <w:trPr/>
        <w:tc>
          <w:tcPr>
            <w:tcW w:w="3972" w:type="dxa"/>
            <w:tcBorders>
              <w:bottom w:val="single" w:sz="12" w:space="0" w:color="000000"/>
            </w:tcBorders>
            <w:vAlign w:val="center"/>
          </w:tcPr>
          <w:p>
            <w:pPr>
              <w:pStyle w:val="TableContents"/>
              <w:bidi w:val="0"/>
              <w:spacing w:before="0" w:after="283"/>
              <w:jc w:val="left"/>
              <w:rPr>
                <w:b/>
              </w:rPr>
            </w:pPr>
            <w:r>
              <w:rPr>
                <w:b/>
              </w:rPr>
              <w:t>Key Performance Indicators (KPIs)*</w:t>
            </w:r>
          </w:p>
        </w:tc>
        <w:tc>
          <w:tcPr>
            <w:tcW w:w="60" w:type="dxa"/>
            <w:tcBorders/>
            <w:tcMar>
              <w:bottom w:w="0" w:type="dxa"/>
            </w:tcMar>
            <w:vAlign w:val="center"/>
          </w:tcPr>
          <w:p>
            <w:pPr>
              <w:pStyle w:val="TableContents"/>
              <w:bidi w:val="0"/>
              <w:spacing w:before="0" w:after="283"/>
              <w:jc w:val="left"/>
              <w:rPr/>
            </w:pPr>
            <w:r>
              <w:rPr/>
              <w:t> </w:t>
            </w:r>
          </w:p>
        </w:tc>
        <w:tc>
          <w:tcPr>
            <w:tcW w:w="2841" w:type="dxa"/>
            <w:gridSpan w:val="2"/>
            <w:tcBorders>
              <w:bottom w:val="single" w:sz="12" w:space="0" w:color="000000"/>
            </w:tcBorders>
            <w:vAlign w:val="center"/>
          </w:tcPr>
          <w:p>
            <w:pPr>
              <w:pStyle w:val="TableContents"/>
              <w:bidi w:val="0"/>
              <w:spacing w:before="0" w:after="283"/>
              <w:jc w:val="center"/>
              <w:rPr>
                <w:b/>
              </w:rPr>
            </w:pPr>
            <w:r>
              <w:rPr>
                <w:b/>
              </w:rPr>
              <w:t>Rolling Twelve Months Ended 6/30/2024</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3" w:type="dxa"/>
            <w:gridSpan w:val="2"/>
            <w:tcBorders>
              <w:bottom w:val="single" w:sz="12" w:space="0" w:color="000000"/>
            </w:tcBorders>
            <w:vAlign w:val="center"/>
          </w:tcPr>
          <w:p>
            <w:pPr>
              <w:pStyle w:val="TableContents"/>
              <w:bidi w:val="0"/>
              <w:spacing w:before="0" w:after="283"/>
              <w:jc w:val="center"/>
              <w:rPr>
                <w:b/>
              </w:rPr>
            </w:pPr>
            <w:r>
              <w:rPr>
                <w:b/>
              </w:rPr>
              <w:t>Rolling Twelve Months Ended 6/30/2023</w:t>
            </w:r>
          </w:p>
        </w:tc>
        <w:tc>
          <w:tcPr>
            <w:tcW w:w="234" w:type="dxa"/>
            <w:tcBorders/>
            <w:tcMar>
              <w:bottom w:w="0" w:type="dxa"/>
            </w:tcMar>
            <w:vAlign w:val="center"/>
          </w:tcPr>
          <w:p>
            <w:pPr>
              <w:pStyle w:val="TableContents"/>
              <w:bidi w:val="0"/>
              <w:spacing w:before="0" w:after="283"/>
              <w:jc w:val="left"/>
              <w:rPr/>
            </w:pPr>
            <w:r>
              <w:rPr/>
              <w:t> </w:t>
            </w:r>
          </w:p>
        </w:tc>
      </w:tr>
      <w:tr>
        <w:trPr/>
        <w:tc>
          <w:tcPr>
            <w:tcW w:w="397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9" w:type="dxa"/>
            <w:gridSpan w:val="6"/>
            <w:tcBorders/>
            <w:tcMar>
              <w:bottom w:w="0" w:type="dxa"/>
            </w:tcMar>
            <w:vAlign w:val="center"/>
          </w:tcPr>
          <w:p>
            <w:pPr>
              <w:pStyle w:val="TableContents"/>
              <w:bidi w:val="0"/>
              <w:spacing w:before="0" w:after="283"/>
              <w:jc w:val="center"/>
              <w:rPr>
                <w:b/>
              </w:rPr>
            </w:pPr>
            <w:r>
              <w:rPr>
                <w:b/>
              </w:rPr>
              <w:t>(in thousands, except percentages)</w:t>
            </w:r>
          </w:p>
        </w:tc>
        <w:tc>
          <w:tcPr>
            <w:tcW w:w="234" w:type="dxa"/>
            <w:tcBorders/>
            <w:tcMar>
              <w:bottom w:w="0" w:type="dxa"/>
            </w:tcMar>
            <w:vAlign w:val="center"/>
          </w:tcPr>
          <w:p>
            <w:pPr>
              <w:pStyle w:val="TableContents"/>
              <w:bidi w:val="0"/>
              <w:spacing w:before="0" w:after="283"/>
              <w:jc w:val="left"/>
              <w:rPr/>
            </w:pPr>
            <w:r>
              <w:rPr/>
              <w:t> </w:t>
            </w:r>
          </w:p>
        </w:tc>
      </w:tr>
      <w:tr>
        <w:trPr/>
        <w:tc>
          <w:tcPr>
            <w:tcW w:w="3972" w:type="dxa"/>
            <w:tcBorders/>
            <w:shd w:fill="CCEEFF" w:val="clear"/>
            <w:tcMar>
              <w:bottom w:w="0" w:type="dxa"/>
            </w:tcMar>
            <w:vAlign w:val="center"/>
          </w:tcPr>
          <w:p>
            <w:pPr>
              <w:pStyle w:val="TableContents"/>
              <w:bidi w:val="0"/>
              <w:spacing w:before="0" w:after="283"/>
              <w:jc w:val="left"/>
              <w:rPr/>
            </w:pPr>
            <w:r>
              <w:rPr/>
              <w:t>Average revenue per top 20 pharmaceutical manufacturer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w:t>
            </w:r>
          </w:p>
        </w:tc>
        <w:tc>
          <w:tcPr>
            <w:tcW w:w="2259" w:type="dxa"/>
            <w:tcBorders/>
            <w:shd w:fill="CCEEFF" w:val="clear"/>
            <w:tcMar>
              <w:bottom w:w="0" w:type="dxa"/>
            </w:tcMar>
            <w:vAlign w:val="center"/>
          </w:tcPr>
          <w:p>
            <w:pPr>
              <w:pStyle w:val="TableContents"/>
              <w:bidi w:val="0"/>
              <w:spacing w:before="0" w:after="283"/>
              <w:jc w:val="right"/>
              <w:rPr/>
            </w:pPr>
            <w:r>
              <w:rPr/>
              <w:t>2,699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w:t>
            </w:r>
          </w:p>
        </w:tc>
        <w:tc>
          <w:tcPr>
            <w:tcW w:w="2259" w:type="dxa"/>
            <w:tcBorders/>
            <w:shd w:fill="CCEEFF" w:val="clear"/>
            <w:tcMar>
              <w:bottom w:w="0" w:type="dxa"/>
            </w:tcMar>
            <w:vAlign w:val="center"/>
          </w:tcPr>
          <w:p>
            <w:pPr>
              <w:pStyle w:val="TableContents"/>
              <w:bidi w:val="0"/>
              <w:spacing w:before="0" w:after="283"/>
              <w:jc w:val="right"/>
              <w:rPr/>
            </w:pPr>
            <w:r>
              <w:rPr/>
              <w:t>1,804</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3972" w:type="dxa"/>
            <w:tcBorders/>
            <w:shd w:fill="FFFFFF" w:val="clear"/>
            <w:tcMar>
              <w:bottom w:w="0" w:type="dxa"/>
            </w:tcMar>
            <w:vAlign w:val="center"/>
          </w:tcPr>
          <w:p>
            <w:pPr>
              <w:pStyle w:val="TableContents"/>
              <w:bidi w:val="0"/>
              <w:spacing w:before="0" w:after="283"/>
              <w:jc w:val="left"/>
              <w:rPr/>
            </w:pPr>
            <w:r>
              <w:rPr/>
              <w:t>Percent of top 20 pharmaceutical manufacturers that are customers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225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left"/>
              <w:rPr/>
            </w:pPr>
            <w:r>
              <w:rPr/>
              <w:t> </w:t>
            </w:r>
          </w:p>
        </w:tc>
        <w:tc>
          <w:tcPr>
            <w:tcW w:w="2259" w:type="dxa"/>
            <w:tcBorders/>
            <w:shd w:fill="FFFFFF" w:val="clear"/>
            <w:tcMar>
              <w:bottom w:w="0" w:type="dxa"/>
            </w:tcMar>
            <w:vAlign w:val="center"/>
          </w:tcPr>
          <w:p>
            <w:pPr>
              <w:pStyle w:val="TableContents"/>
              <w:bidi w:val="0"/>
              <w:spacing w:before="0" w:after="283"/>
              <w:jc w:val="right"/>
              <w:rPr/>
            </w:pPr>
            <w:r>
              <w:rPr/>
              <w:t>100</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3972" w:type="dxa"/>
            <w:tcBorders/>
            <w:shd w:fill="CCEEFF" w:val="clear"/>
            <w:tcMar>
              <w:bottom w:w="0" w:type="dxa"/>
            </w:tcMar>
            <w:vAlign w:val="center"/>
          </w:tcPr>
          <w:p>
            <w:pPr>
              <w:pStyle w:val="TableContents"/>
              <w:bidi w:val="0"/>
              <w:spacing w:before="0" w:after="283"/>
              <w:jc w:val="left"/>
              <w:rPr/>
            </w:pPr>
            <w:r>
              <w:rPr/>
              <w:t>Top 20 pharmaceutical manufacturers as percent of total net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 </w:t>
            </w:r>
          </w:p>
        </w:tc>
        <w:tc>
          <w:tcPr>
            <w:tcW w:w="2259" w:type="dxa"/>
            <w:tcBorders/>
            <w:shd w:fill="CCEEFF" w:val="clear"/>
            <w:tcMar>
              <w:bottom w:w="0" w:type="dxa"/>
            </w:tcMar>
            <w:vAlign w:val="center"/>
          </w:tcPr>
          <w:p>
            <w:pPr>
              <w:pStyle w:val="TableContents"/>
              <w:bidi w:val="0"/>
              <w:spacing w:before="0" w:after="283"/>
              <w:jc w:val="right"/>
              <w:rPr/>
            </w:pPr>
            <w:r>
              <w:rPr/>
              <w:t>65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2259" w:type="dxa"/>
            <w:tcBorders/>
            <w:shd w:fill="CCEEFF" w:val="clear"/>
            <w:tcMar>
              <w:bottom w:w="0" w:type="dxa"/>
            </w:tcMar>
            <w:vAlign w:val="center"/>
          </w:tcPr>
          <w:p>
            <w:pPr>
              <w:pStyle w:val="TableContents"/>
              <w:bidi w:val="0"/>
              <w:spacing w:before="0" w:after="283"/>
              <w:jc w:val="right"/>
              <w:rPr/>
            </w:pPr>
            <w:r>
              <w:rPr/>
              <w:t>59</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3972" w:type="dxa"/>
            <w:tcBorders/>
            <w:shd w:fill="FFFFFF" w:val="clear"/>
            <w:tcMar>
              <w:bottom w:w="0" w:type="dxa"/>
            </w:tcMar>
            <w:vAlign w:val="center"/>
          </w:tcPr>
          <w:p>
            <w:pPr>
              <w:pStyle w:val="TableContents"/>
              <w:bidi w:val="0"/>
              <w:spacing w:before="0" w:after="283"/>
              <w:jc w:val="left"/>
              <w:rPr/>
            </w:pPr>
            <w:r>
              <w:rPr/>
              <w:t>Net revenue retention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2259" w:type="dxa"/>
            <w:tcBorders/>
            <w:shd w:fill="FFFFFF" w:val="clear"/>
            <w:tcMar>
              <w:bottom w:w="0" w:type="dxa"/>
            </w:tcMar>
            <w:vAlign w:val="center"/>
          </w:tcPr>
          <w:p>
            <w:pPr>
              <w:pStyle w:val="TableContents"/>
              <w:bidi w:val="0"/>
              <w:spacing w:before="0" w:after="283"/>
              <w:jc w:val="right"/>
              <w:rPr/>
            </w:pPr>
            <w:r>
              <w:rPr/>
              <w:t>124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left"/>
              <w:rPr/>
            </w:pPr>
            <w:r>
              <w:rPr/>
              <w:t> </w:t>
            </w:r>
          </w:p>
        </w:tc>
        <w:tc>
          <w:tcPr>
            <w:tcW w:w="2259" w:type="dxa"/>
            <w:tcBorders/>
            <w:shd w:fill="FFFFFF" w:val="clear"/>
            <w:tcMar>
              <w:bottom w:w="0" w:type="dxa"/>
            </w:tcMar>
            <w:vAlign w:val="center"/>
          </w:tcPr>
          <w:p>
            <w:pPr>
              <w:pStyle w:val="TableContents"/>
              <w:bidi w:val="0"/>
              <w:spacing w:before="0" w:after="283"/>
              <w:jc w:val="right"/>
              <w:rPr/>
            </w:pPr>
            <w:r>
              <w:rPr/>
              <w:t>89</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3972" w:type="dxa"/>
            <w:tcBorders/>
            <w:shd w:fill="CCEEFF" w:val="clear"/>
            <w:tcMar>
              <w:bottom w:w="0" w:type="dxa"/>
            </w:tcMar>
            <w:vAlign w:val="center"/>
          </w:tcPr>
          <w:p>
            <w:pPr>
              <w:pStyle w:val="TableContents"/>
              <w:bidi w:val="0"/>
              <w:spacing w:before="0" w:after="283"/>
              <w:jc w:val="left"/>
              <w:rPr/>
            </w:pPr>
            <w:r>
              <w:rPr/>
              <w:t>Revenue per averages full-time employee (FTE)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w:t>
            </w:r>
          </w:p>
        </w:tc>
        <w:tc>
          <w:tcPr>
            <w:tcW w:w="2259" w:type="dxa"/>
            <w:tcBorders/>
            <w:shd w:fill="CCEEFF" w:val="clear"/>
            <w:tcMar>
              <w:bottom w:w="0" w:type="dxa"/>
            </w:tcMar>
            <w:vAlign w:val="center"/>
          </w:tcPr>
          <w:p>
            <w:pPr>
              <w:pStyle w:val="TableContents"/>
              <w:bidi w:val="0"/>
              <w:spacing w:before="0" w:after="283"/>
              <w:jc w:val="right"/>
              <w:rPr/>
            </w:pPr>
            <w:r>
              <w:rPr/>
              <w:t>658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w:t>
            </w:r>
          </w:p>
        </w:tc>
        <w:tc>
          <w:tcPr>
            <w:tcW w:w="2259" w:type="dxa"/>
            <w:tcBorders/>
            <w:shd w:fill="CCEEFF" w:val="clear"/>
            <w:tcMar>
              <w:bottom w:w="0" w:type="dxa"/>
            </w:tcMar>
            <w:vAlign w:val="center"/>
          </w:tcPr>
          <w:p>
            <w:pPr>
              <w:pStyle w:val="TableContents"/>
              <w:bidi w:val="0"/>
              <w:spacing w:before="0" w:after="283"/>
              <w:jc w:val="right"/>
              <w:rPr/>
            </w:pPr>
            <w:r>
              <w:rPr/>
              <w:t>565</w:t>
            </w:r>
          </w:p>
        </w:tc>
        <w:tc>
          <w:tcPr>
            <w:tcW w:w="23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Financial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2024, the Company is reiterating its 2024 guidance and expects revenue to be at least $100 million with an Adjusted EBITDA of at least $11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tab/>
        <w:t>Thursday, August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w:t>
        <w:tab/>
        <w:t>4:30 p.m. Eastern Time (1:30 p.m. Pacific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w:t>
        <w:tab/>
        <w:t>1-800-343-4849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w:t>
        <w:tab/>
        <w:t>1-203-518-9848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ID:</w:t>
        <w:tab/>
        <w:t>“OPRXQ2”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w:t>
        <w:tab/>
        <w:t>https://viavid.webcasts.com/starthere.jsp?ei=1679004&amp;tp_key=4b22d66114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includes a presentation of non-GAAP net loss and non-GAAP net loss per diluted share or non-GAAP EPS, and Adjusted EBITDA, all of which are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non-GAAP net loss as GAAP net loss with an adjustment, as applicable, to add back depreciation, amortization, amortization of debt issuance costs, stock-based compensation, acquisition expenses, severance expenses, income or loss related to the fair value of contingent consideration, gain or loss from the disposal of a business, asset impairment charges, other income (loss), and deferred income taxes. Non-GAAP EPS is defined as non-GAAP net loss divided by the number of weighted average shares outstanding on a diluted basis. Adjusted EBITDA is defined as GAAP net loss with an adjustment, as applicable, to add back depreciation, amortization, interest, stock-based compensation, acquisition expenses, severance expenses, income or loss related to the fair value of contingent consideration, gain or loss from the disposal of a business, asset impairment charges, other income (loss), and deferred income taxes. The Company has provided non-GAAP financial measures to aid investors in better understanding its performance. Management believes that these non-GAAP financial measures provide additional insight into the operations and cash flow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business operating results and those of other companies, as well as provides an important tool for financial and operational decision making and for evaluating the Company’s business operating results over different periods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financial measures may not provide information that is directly comparable to that provided by other companies in the Company’s industry, as other companies in the industry may calculate such non-GAAP financial results differently. The Company’s non-GAAP net loss, non-GAAP EPS and Adjusted EBITDA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“Reconciliation of Non-GAAP to GAAP Financial Measures,” included below, provides a reconciliation of Non-GAAP net (loss), Non-GAAP EPS and Adjusted EBITDA for the three and six months ended June 30, 2024 and 2023. Although the Company provides guidance for Adjusted EBITDA, it is not able to provide guidance to the most directly comparable GAAP measures. Reconciliations for forward-looking figures would require unreasonable efforts at this time because of the uncertainty and variability of the nature and amount of certain components of various necessary GAAP components, including, for example, those related to compensation, acquisition expenses,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Definition of Key Performance Indicators*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Top 20 pharmaceutical manufacturers: </w:t>
      </w:r>
      <w:r>
        <w:rPr>
          <w:rFonts w:ascii="Times New Roman;Times;Serif" w:hAnsi="Times New Roman;Times;Serif"/>
          <w:b w:val="false"/>
          <w:i w:val="false"/>
          <w:caps w:val="false"/>
          <w:smallCaps w:val="false"/>
          <w:sz w:val="20"/>
        </w:rPr>
        <w:t>We have updated the definition of “top 20 pharmaceutical manufacturers” in our key performance indicators to be based upon Fierce Pharma’s most updated list of “The top 20 pharma companies by 2023 revenue”. We previously used “The top 20 pharma companies by 2022 revenue”. As a result of this change, prior periods have been restated for comparative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 retention</w:t>
      </w:r>
      <w:r>
        <w:rPr>
          <w:rFonts w:ascii="Times New Roman;Times;Serif" w:hAnsi="Times New Roman;Times;Serif"/>
          <w:b w:val="false"/>
          <w:i w:val="false"/>
          <w:caps w:val="false"/>
          <w:smallCaps w:val="false"/>
          <w:sz w:val="20"/>
        </w:rPr>
        <w:t>: Net revenue retention is a comparison of revenue generated from all clients in the previous period to total revenue generated from the same clients in the following year (i.e., excludes new client relationships for the most recent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per average Full Time Employee:</w:t>
      </w:r>
      <w:r>
        <w:rPr>
          <w:rFonts w:ascii="Times New Roman;Times;Serif" w:hAnsi="Times New Roman;Times;Serif"/>
          <w:b w:val="false"/>
          <w:i w:val="false"/>
          <w:caps w:val="false"/>
          <w:smallCaps w:val="false"/>
          <w:sz w:val="20"/>
        </w:rPr>
        <w:t xml:space="preserve"> We define revenue per average full-time employee (FTE) as total revenue over the last 12 months (LTM) divided by the average number of employees over the LTM, which is calculated by taking our total number of FTEs at the end of the prior year period by our total FTE headcount at the end of the most recent.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OptimizeRx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provides best-in-class health technology that enables care-focused engagement between life sciences organizations, healthcare providers, and patients at critical junctures throughout the patient care journey. Connecting over 2 million U.S. healthcare providers and millions of their patients through an intelligent technology platform embedded within a proprietary digital point-of-care network, as well as mass digital communication channels, OptimizeRx helps life sciences organizations engage and support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follow the Company on Twitter, LinkedIn or visit www.optimizerx.com.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Cautions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seasonal trends, our ability to maintain our contracts with electronic prescription platforms, competition, and other risks summarized in the Company’s Annual Report on Form 10-K for the fiscal year ended December 31, 2023, its subsequent Quarterly Reports on Form 10-Q, and its other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D’Silva, SVP Corporate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adsilva@optimizerx.com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Ashley Robinson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7545"/>
        <w:gridCol w:w="60"/>
        <w:gridCol w:w="140"/>
        <w:gridCol w:w="800"/>
        <w:gridCol w:w="95"/>
        <w:gridCol w:w="60"/>
        <w:gridCol w:w="210"/>
        <w:gridCol w:w="1205"/>
        <w:gridCol w:w="90"/>
      </w:tblGrid>
      <w:tr>
        <w:trPr/>
        <w:tc>
          <w:tcPr>
            <w:tcW w:w="7545"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90" w:type="dxa"/>
            <w:tcBorders/>
            <w:vAlign w:val="center"/>
          </w:tcPr>
          <w:p>
            <w:pPr>
              <w:pStyle w:val="TableContents"/>
              <w:bidi w:val="0"/>
              <w:spacing w:before="0" w:after="283"/>
              <w:ind w:left="0" w:right="0" w:hanging="180"/>
              <w:jc w:val="left"/>
              <w:rPr/>
            </w:pPr>
            <w:r>
              <w:rPr/>
              <w:t> </w:t>
            </w:r>
          </w:p>
        </w:tc>
      </w:tr>
      <w:tr>
        <w:trPr/>
        <w:tc>
          <w:tcPr>
            <w:tcW w:w="7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545"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545"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13,852</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36,253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Taxes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1,036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Prepaid expenses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3,190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54,331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149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78,357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Other intangibles,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15,198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Tradename and customer relationships,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34,198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Operating lease right of 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573</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Security deposits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568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126,736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128,894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172,876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183,374</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2,000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Accounts payable – trade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2,227</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7,706</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Revenue share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5,506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222</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172</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14,956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17,881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Long-term debt,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34,231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371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4,337</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51,860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56,821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Preferred stock, $0.001 par value, 10,000,000 shares authorized, none issued and outstanding at June 30, 2024 or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45" w:type="dxa"/>
            <w:tcBorders/>
            <w:shd w:fill="FFFFFF" w:val="clear"/>
            <w:vAlign w:val="center"/>
          </w:tcPr>
          <w:p>
            <w:pPr>
              <w:pStyle w:val="TableContents"/>
              <w:bidi w:val="0"/>
              <w:spacing w:before="0" w:after="283"/>
              <w:jc w:val="both"/>
              <w:rPr/>
            </w:pPr>
            <w:r>
              <w:rPr/>
              <w:t>Common stock, $0.001 par value, 166,666,667 shares authorized, 20,061,907 and 19,899,679 shares issued at June 30,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Treasury stock, $0.001 par value, 1,741,397 shares held at June 30, 2024 and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545" w:type="dxa"/>
            <w:tcBorders/>
            <w:shd w:fill="FFFFFF" w:val="clear"/>
            <w:vAlign w:val="center"/>
          </w:tcPr>
          <w:p>
            <w:pPr>
              <w:pStyle w:val="TableContents"/>
              <w:bidi w:val="0"/>
              <w:spacing w:before="0" w:after="283"/>
              <w:jc w:val="both"/>
              <w:rPr/>
            </w:pPr>
            <w:r>
              <w:rPr/>
              <w:t>Additional paid-in-capital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196,164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190,793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(75,166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(64,258</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545" w:type="dxa"/>
            <w:tcBorders/>
            <w:shd w:fill="FFFFFF" w:val="clear"/>
            <w:vAlign w:val="center"/>
          </w:tcPr>
          <w:p>
            <w:pPr>
              <w:pStyle w:val="TableContents"/>
              <w:bidi w:val="0"/>
              <w:spacing w:before="0" w:after="283"/>
              <w:jc w:val="both"/>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121,016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126,553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both"/>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172,876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183,374</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OPERATIONS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7"/>
        <w:gridCol w:w="60"/>
        <w:gridCol w:w="148"/>
        <w:gridCol w:w="1169"/>
        <w:gridCol w:w="100"/>
        <w:gridCol w:w="63"/>
        <w:gridCol w:w="148"/>
        <w:gridCol w:w="1169"/>
        <w:gridCol w:w="95"/>
        <w:gridCol w:w="60"/>
        <w:gridCol w:w="141"/>
        <w:gridCol w:w="1115"/>
        <w:gridCol w:w="96"/>
        <w:gridCol w:w="60"/>
        <w:gridCol w:w="141"/>
        <w:gridCol w:w="1115"/>
        <w:gridCol w:w="118"/>
      </w:tblGrid>
      <w:tr>
        <w:trPr/>
        <w:tc>
          <w:tcPr>
            <w:tcW w:w="4407"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7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8" w:type="dxa"/>
            <w:tcBorders/>
            <w:vAlign w:val="center"/>
          </w:tcPr>
          <w:p>
            <w:pPr>
              <w:pStyle w:val="TableContents"/>
              <w:bidi w:val="0"/>
              <w:spacing w:before="0" w:after="283"/>
              <w:ind w:left="0" w:right="0" w:hanging="180"/>
              <w:jc w:val="left"/>
              <w:rPr/>
            </w:pPr>
            <w:r>
              <w:rPr/>
              <w:t> </w:t>
            </w:r>
          </w:p>
        </w:tc>
      </w:tr>
      <w:tr>
        <w:trPr/>
        <w:tc>
          <w:tcPr>
            <w:tcW w:w="44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8" w:type="dxa"/>
            <w:tcBorders/>
            <w:vAlign w:val="center"/>
          </w:tcPr>
          <w:p>
            <w:pPr>
              <w:pStyle w:val="TableContents"/>
              <w:bidi w:val="0"/>
              <w:spacing w:before="0" w:after="283"/>
              <w:ind w:left="0" w:right="0" w:hanging="180"/>
              <w:jc w:val="left"/>
              <w:rPr/>
            </w:pPr>
            <w:r>
              <w:rPr/>
              <w:t> </w:t>
            </w:r>
          </w:p>
        </w:tc>
      </w:tr>
      <w:tr>
        <w:trPr/>
        <w:tc>
          <w:tcPr>
            <w:tcW w:w="4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7"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6"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6"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Net 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18,812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13,818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38,502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26,821</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07" w:type="dxa"/>
            <w:tcBorders/>
            <w:shd w:fill="FFFFFF" w:val="clear"/>
            <w:vAlign w:val="center"/>
          </w:tcPr>
          <w:p>
            <w:pPr>
              <w:pStyle w:val="TableContents"/>
              <w:bidi w:val="0"/>
              <w:spacing w:before="0" w:after="283"/>
              <w:jc w:val="both"/>
              <w:rPr/>
            </w:pPr>
            <w:r>
              <w:rPr/>
              <w:t>Cost of revenues, exclusive of depreciation and amortization presented separately below</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7,108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5,993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14,595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11,563</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11,704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7,825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23,907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15,258</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07"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14,380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12,242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30,545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26,274</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1,073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2,140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929</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07"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15,453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12,707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32,685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27,203</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(3,749</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(8,778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(11,945</w:t>
            </w:r>
          </w:p>
        </w:tc>
        <w:tc>
          <w:tcPr>
            <w:tcW w:w="118" w:type="dxa"/>
            <w:tcBorders/>
            <w:shd w:fill="CCEEFF" w:val="clear"/>
            <w:vAlign w:val="center"/>
          </w:tcPr>
          <w:p>
            <w:pPr>
              <w:pStyle w:val="TableContents"/>
              <w:bidi w:val="0"/>
              <w:spacing w:before="0" w:after="283"/>
              <w:ind w:left="0" w:right="0" w:hanging="180"/>
              <w:jc w:val="left"/>
              <w:rPr/>
            </w:pPr>
            <w:r>
              <w:rPr/>
              <w:t>)</w:t>
            </w:r>
          </w:p>
        </w:tc>
      </w:tr>
      <w:tr>
        <w:trPr/>
        <w:tc>
          <w:tcPr>
            <w:tcW w:w="4407" w:type="dxa"/>
            <w:tcBorders/>
            <w:shd w:fill="FFFFFF" w:val="clear"/>
            <w:vAlign w:val="center"/>
          </w:tcPr>
          <w:p>
            <w:pPr>
              <w:pStyle w:val="TableContents"/>
              <w:bidi w:val="0"/>
              <w:spacing w:before="0" w:after="283"/>
              <w:jc w:val="both"/>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(1,528</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(3,074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07" w:type="dxa"/>
            <w:tcBorders/>
            <w:shd w:fill="FFFFFF" w:val="clear"/>
            <w:vAlign w:val="center"/>
          </w:tcPr>
          <w:p>
            <w:pPr>
              <w:pStyle w:val="TableContents"/>
              <w:bidi w:val="0"/>
              <w:spacing w:before="0" w:after="283"/>
              <w:jc w:val="both"/>
              <w:rPr/>
            </w:pPr>
            <w:r>
              <w:rPr/>
              <w:t>Other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75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75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105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1,386</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07" w:type="dxa"/>
            <w:tcBorders/>
            <w:shd w:fill="FFFFFF" w:val="clear"/>
            <w:vAlign w:val="center"/>
          </w:tcPr>
          <w:p>
            <w:pPr>
              <w:pStyle w:val="TableContents"/>
              <w:bidi w:val="0"/>
              <w:spacing w:before="0" w:after="283"/>
              <w:jc w:val="both"/>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(1,347</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(2,874</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1,386</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(5,097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(4,161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(11,652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(10,559</w:t>
            </w:r>
          </w:p>
        </w:tc>
        <w:tc>
          <w:tcPr>
            <w:tcW w:w="118" w:type="dxa"/>
            <w:tcBorders/>
            <w:shd w:fill="CCEEFF" w:val="clear"/>
            <w:vAlign w:val="center"/>
          </w:tcPr>
          <w:p>
            <w:pPr>
              <w:pStyle w:val="TableContents"/>
              <w:bidi w:val="0"/>
              <w:spacing w:before="0" w:after="283"/>
              <w:ind w:left="0" w:right="0" w:hanging="180"/>
              <w:jc w:val="left"/>
              <w:rPr/>
            </w:pPr>
            <w:r>
              <w:rPr/>
              <w:t>)</w:t>
            </w:r>
          </w:p>
        </w:tc>
      </w:tr>
      <w:tr>
        <w:trPr/>
        <w:tc>
          <w:tcPr>
            <w:tcW w:w="4407" w:type="dxa"/>
            <w:tcBorders/>
            <w:shd w:fill="FFFFFF" w:val="clear"/>
            <w:vAlign w:val="center"/>
          </w:tcPr>
          <w:p>
            <w:pPr>
              <w:pStyle w:val="TableContents"/>
              <w:bidi w:val="0"/>
              <w:spacing w:before="0" w:after="283"/>
              <w:jc w:val="both"/>
              <w:rPr/>
            </w:pPr>
            <w:r>
              <w:rPr/>
              <w:t>Expense (benefit) from  income taxes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1,088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744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66</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(4,008</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(4,128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(10,908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(10,493</w:t>
            </w:r>
          </w:p>
        </w:tc>
        <w:tc>
          <w:tcPr>
            <w:tcW w:w="118" w:type="dxa"/>
            <w:tcBorders/>
            <w:shd w:fill="CCEEFF" w:val="clear"/>
            <w:vAlign w:val="center"/>
          </w:tcPr>
          <w:p>
            <w:pPr>
              <w:pStyle w:val="TableContents"/>
              <w:bidi w:val="0"/>
              <w:spacing w:before="0" w:after="283"/>
              <w:ind w:left="0" w:right="0" w:hanging="180"/>
              <w:jc w:val="left"/>
              <w:rPr/>
            </w:pPr>
            <w:r>
              <w:rPr/>
              <w:t>)</w:t>
            </w:r>
          </w:p>
        </w:tc>
      </w:tr>
      <w:tr>
        <w:trPr/>
        <w:tc>
          <w:tcPr>
            <w:tcW w:w="4407" w:type="dxa"/>
            <w:tcBorders/>
            <w:shd w:fill="FFFFFF" w:val="clear"/>
            <w:vAlign w:val="center"/>
          </w:tcPr>
          <w:p>
            <w:pPr>
              <w:pStyle w:val="TableContents"/>
              <w:bidi w:val="0"/>
              <w:spacing w:before="0" w:after="283"/>
              <w:jc w:val="both"/>
              <w:rPr/>
            </w:pPr>
            <w:r>
              <w:rPr/>
              <w:t>Weighted average number of shares outstanding – basic</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double" w:sz="10" w:space="0" w:color="000000"/>
            </w:tcBorders>
            <w:shd w:fill="FFFFFF" w:val="clear"/>
            <w:tcMar>
              <w:bottom w:w="28" w:type="dxa"/>
            </w:tcMar>
            <w:vAlign w:val="center"/>
          </w:tcPr>
          <w:p>
            <w:pPr>
              <w:pStyle w:val="TableContents"/>
              <w:bidi w:val="0"/>
              <w:spacing w:before="0" w:after="283"/>
              <w:jc w:val="right"/>
              <w:rPr/>
            </w:pPr>
            <w:r>
              <w:rPr/>
              <w:t>18,257,879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double" w:sz="10" w:space="0" w:color="000000"/>
            </w:tcBorders>
            <w:shd w:fill="FFFFFF" w:val="clear"/>
            <w:tcMar>
              <w:bottom w:w="28" w:type="dxa"/>
            </w:tcMar>
            <w:vAlign w:val="center"/>
          </w:tcPr>
          <w:p>
            <w:pPr>
              <w:pStyle w:val="TableContents"/>
              <w:bidi w:val="0"/>
              <w:spacing w:before="0" w:after="283"/>
              <w:jc w:val="right"/>
              <w:rPr/>
            </w:pPr>
            <w:r>
              <w:rPr/>
              <w:t>16,992,100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FFFFFF" w:val="clear"/>
            <w:tcMar>
              <w:bottom w:w="28" w:type="dxa"/>
            </w:tcMar>
            <w:vAlign w:val="center"/>
          </w:tcPr>
          <w:p>
            <w:pPr>
              <w:pStyle w:val="TableContents"/>
              <w:bidi w:val="0"/>
              <w:spacing w:before="0" w:after="283"/>
              <w:jc w:val="right"/>
              <w:rPr/>
            </w:pPr>
            <w:r>
              <w:rPr/>
              <w:t>18,213,992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FFFFFF" w:val="clear"/>
            <w:tcMar>
              <w:bottom w:w="28" w:type="dxa"/>
            </w:tcMar>
            <w:vAlign w:val="center"/>
          </w:tcPr>
          <w:p>
            <w:pPr>
              <w:pStyle w:val="TableContents"/>
              <w:bidi w:val="0"/>
              <w:spacing w:before="0" w:after="283"/>
              <w:jc w:val="right"/>
              <w:rPr/>
            </w:pPr>
            <w:r>
              <w:rPr/>
              <w:t>17,043,493</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07" w:type="dxa"/>
            <w:tcBorders/>
            <w:shd w:fill="CCEEFF" w:val="clear"/>
            <w:vAlign w:val="center"/>
          </w:tcPr>
          <w:p>
            <w:pPr>
              <w:pStyle w:val="TableContents"/>
              <w:bidi w:val="0"/>
              <w:spacing w:before="0" w:after="283"/>
              <w:jc w:val="both"/>
              <w:rPr/>
            </w:pPr>
            <w:r>
              <w:rPr/>
              <w:t>Weighted average number of shares outstanding – diluted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18,257,879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16,992,100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18,213,922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17,043,493</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07" w:type="dxa"/>
            <w:tcBorders/>
            <w:shd w:fill="FFFFFF" w:val="clear"/>
            <w:vAlign w:val="center"/>
          </w:tcPr>
          <w:p>
            <w:pPr>
              <w:pStyle w:val="TableContents"/>
              <w:bidi w:val="0"/>
              <w:spacing w:before="0" w:after="283"/>
              <w:jc w:val="both"/>
              <w:rPr/>
            </w:pPr>
            <w:r>
              <w:rPr/>
              <w:t>Loss per share – basic</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FFFFFF" w:val="clear"/>
            <w:tcMar>
              <w:bottom w:w="28" w:type="dxa"/>
            </w:tcMar>
            <w:vAlign w:val="center"/>
          </w:tcPr>
          <w:p>
            <w:pPr>
              <w:pStyle w:val="TableContents"/>
              <w:bidi w:val="0"/>
              <w:spacing w:before="0" w:after="283"/>
              <w:jc w:val="right"/>
              <w:rPr/>
            </w:pPr>
            <w:r>
              <w:rPr/>
              <w:t>(0.22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FFFFFF" w:val="clear"/>
            <w:tcMar>
              <w:bottom w:w="28" w:type="dxa"/>
            </w:tcMar>
            <w:vAlign w:val="center"/>
          </w:tcPr>
          <w:p>
            <w:pPr>
              <w:pStyle w:val="TableContents"/>
              <w:bidi w:val="0"/>
              <w:spacing w:before="0" w:after="283"/>
              <w:jc w:val="right"/>
              <w:rPr/>
            </w:pPr>
            <w:r>
              <w:rPr/>
              <w:t>(0.24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FFFFFF" w:val="clear"/>
            <w:tcMar>
              <w:bottom w:w="28" w:type="dxa"/>
            </w:tcMar>
            <w:vAlign w:val="center"/>
          </w:tcPr>
          <w:p>
            <w:pPr>
              <w:pStyle w:val="TableContents"/>
              <w:bidi w:val="0"/>
              <w:spacing w:before="0" w:after="283"/>
              <w:jc w:val="right"/>
              <w:rPr/>
            </w:pPr>
            <w:r>
              <w:rPr/>
              <w:t>(0.60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FFFFFF" w:val="clear"/>
            <w:tcMar>
              <w:bottom w:w="28" w:type="dxa"/>
            </w:tcMar>
            <w:vAlign w:val="center"/>
          </w:tcPr>
          <w:p>
            <w:pPr>
              <w:pStyle w:val="TableContents"/>
              <w:bidi w:val="0"/>
              <w:spacing w:before="0" w:after="283"/>
              <w:jc w:val="right"/>
              <w:rPr/>
            </w:pPr>
            <w:r>
              <w:rPr/>
              <w:t>(0.62</w:t>
            </w:r>
          </w:p>
        </w:tc>
        <w:tc>
          <w:tcPr>
            <w:tcW w:w="118" w:type="dxa"/>
            <w:tcBorders/>
            <w:shd w:fill="FFFFFF" w:val="clear"/>
            <w:vAlign w:val="center"/>
          </w:tcPr>
          <w:p>
            <w:pPr>
              <w:pStyle w:val="TableContents"/>
              <w:bidi w:val="0"/>
              <w:spacing w:before="0" w:after="283"/>
              <w:ind w:left="0" w:right="0" w:hanging="180"/>
              <w:jc w:val="left"/>
              <w:rPr/>
            </w:pPr>
            <w:r>
              <w:rPr/>
              <w:t>)</w:t>
            </w:r>
          </w:p>
        </w:tc>
      </w:tr>
      <w:tr>
        <w:trPr/>
        <w:tc>
          <w:tcPr>
            <w:tcW w:w="4407" w:type="dxa"/>
            <w:tcBorders/>
            <w:shd w:fill="CCEEFF" w:val="clear"/>
            <w:vAlign w:val="center"/>
          </w:tcPr>
          <w:p>
            <w:pPr>
              <w:pStyle w:val="TableContents"/>
              <w:bidi w:val="0"/>
              <w:spacing w:before="0" w:after="283"/>
              <w:jc w:val="both"/>
              <w:rPr/>
            </w:pPr>
            <w:r>
              <w:rPr/>
              <w:t>Loss per share – diluted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(0.22</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(0.60</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(0.62</w:t>
            </w:r>
          </w:p>
        </w:tc>
        <w:tc>
          <w:tcPr>
            <w:tcW w:w="118"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12"/>
        <w:gridCol w:w="60"/>
        <w:gridCol w:w="177"/>
        <w:gridCol w:w="960"/>
        <w:gridCol w:w="120"/>
        <w:gridCol w:w="76"/>
        <w:gridCol w:w="177"/>
        <w:gridCol w:w="1113"/>
        <w:gridCol w:w="110"/>
      </w:tblGrid>
      <w:tr>
        <w:trPr/>
        <w:tc>
          <w:tcPr>
            <w:tcW w:w="7412" w:type="dxa"/>
            <w:tcBorders/>
            <w:vAlign w:val="center"/>
          </w:tcPr>
          <w:p>
            <w:pPr>
              <w:pStyle w:val="TableContents"/>
              <w:bidi w:val="0"/>
              <w:spacing w:before="0" w:after="283"/>
              <w:ind w:left="0" w:right="0" w:hanging="360"/>
              <w:jc w:val="both"/>
              <w:rPr/>
            </w:pPr>
            <w:r>
              <w:rPr/>
              <w:t> </w:t>
            </w:r>
          </w:p>
        </w:tc>
        <w:tc>
          <w:tcPr>
            <w:tcW w:w="60" w:type="dxa"/>
            <w:tcBorders/>
            <w:vAlign w:val="center"/>
          </w:tcPr>
          <w:p>
            <w:pPr>
              <w:pStyle w:val="TableContents"/>
              <w:bidi w:val="0"/>
              <w:spacing w:before="0" w:after="283"/>
              <w:jc w:val="left"/>
              <w:rPr/>
            </w:pPr>
            <w:r>
              <w:rPr/>
              <w:t> </w:t>
            </w:r>
          </w:p>
        </w:tc>
        <w:tc>
          <w:tcPr>
            <w:tcW w:w="26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ind w:left="0" w:right="0" w:hanging="360"/>
              <w:jc w:val="left"/>
              <w:rPr/>
            </w:pPr>
            <w:r>
              <w:rPr/>
              <w:t> </w:t>
            </w:r>
          </w:p>
        </w:tc>
      </w:tr>
      <w:tr>
        <w:trPr/>
        <w:tc>
          <w:tcPr>
            <w:tcW w:w="741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360"/>
              <w:jc w:val="left"/>
              <w:rPr/>
            </w:pPr>
            <w:r>
              <w:rPr/>
              <w:t> </w:t>
            </w:r>
          </w:p>
        </w:tc>
      </w:tr>
      <w:tr>
        <w:trPr/>
        <w:tc>
          <w:tcPr>
            <w:tcW w:w="7412" w:type="dxa"/>
            <w:tcBorders/>
            <w:vAlign w:val="center"/>
          </w:tcPr>
          <w:p>
            <w:pPr>
              <w:pStyle w:val="TableContents"/>
              <w:bidi w:val="0"/>
              <w:spacing w:before="0" w:after="283"/>
              <w:jc w:val="both"/>
              <w:rPr>
                <w:b/>
              </w:rPr>
            </w:pPr>
            <w:r>
              <w:rPr>
                <w:b/>
              </w:rPr>
              <w:t>OPERATING ACTIVITIES:</w:t>
            </w:r>
          </w:p>
        </w:tc>
        <w:tc>
          <w:tcPr>
            <w:tcW w:w="6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(10,908</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(10,493</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7412" w:type="dxa"/>
            <w:tcBorders/>
            <w:shd w:fill="FFFFFF" w:val="clear"/>
            <w:vAlign w:val="center"/>
          </w:tcPr>
          <w:p>
            <w:pPr>
              <w:pStyle w:val="TableContents"/>
              <w:bidi w:val="0"/>
              <w:spacing w:before="0" w:after="283"/>
              <w:jc w:val="both"/>
              <w:rPr/>
            </w:pPr>
            <w:r>
              <w:rPr/>
              <w:t>Adjustments to reconcile net loss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2,140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929</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both"/>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5,926</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7,884</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pPr>
            <w:r>
              <w:rPr/>
              <w:t>Increase in bad debt reserve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132</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239</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both"/>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365</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pPr>
            <w:r>
              <w:rPr/>
              <w:t>Changes in: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11,600</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3,635</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(1,457</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(1,772</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7412"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752</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(732</w:t>
            </w:r>
          </w:p>
        </w:tc>
        <w:tc>
          <w:tcPr>
            <w:tcW w:w="110" w:type="dxa"/>
            <w:tcBorders/>
            <w:shd w:fill="FFFFFF" w:val="clear"/>
            <w:vAlign w:val="center"/>
          </w:tcPr>
          <w:p>
            <w:pPr>
              <w:pStyle w:val="TableContents"/>
              <w:bidi w:val="0"/>
              <w:spacing w:before="0" w:after="283"/>
              <w:ind w:left="0" w:right="0" w:hanging="360"/>
              <w:jc w:val="left"/>
              <w:rPr/>
            </w:pPr>
            <w:r>
              <w:rPr/>
              <w:t>)</w:t>
            </w:r>
          </w:p>
        </w:tc>
      </w:tr>
      <w:tr>
        <w:trPr/>
        <w:tc>
          <w:tcPr>
            <w:tcW w:w="7412" w:type="dxa"/>
            <w:tcBorders/>
            <w:shd w:fill="CCEEFF" w:val="clear"/>
            <w:vAlign w:val="center"/>
          </w:tcPr>
          <w:p>
            <w:pPr>
              <w:pStyle w:val="TableContents"/>
              <w:bidi w:val="0"/>
              <w:spacing w:before="0" w:after="283"/>
              <w:jc w:val="both"/>
              <w:rPr/>
            </w:pPr>
            <w:r>
              <w:rPr/>
              <w:t>Revenue share payable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(3,412</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(1,269</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7412" w:type="dxa"/>
            <w:tcBorders/>
            <w:shd w:fill="FFFFFF" w:val="clear"/>
            <w:vAlign w:val="center"/>
          </w:tcPr>
          <w:p>
            <w:pPr>
              <w:pStyle w:val="TableContents"/>
              <w:bidi w:val="0"/>
              <w:spacing w:before="0" w:after="283"/>
              <w:jc w:val="both"/>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(2,264</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(1,097</w:t>
            </w:r>
          </w:p>
        </w:tc>
        <w:tc>
          <w:tcPr>
            <w:tcW w:w="110" w:type="dxa"/>
            <w:tcBorders/>
            <w:shd w:fill="FFFFFF" w:val="clear"/>
            <w:vAlign w:val="center"/>
          </w:tcPr>
          <w:p>
            <w:pPr>
              <w:pStyle w:val="TableContents"/>
              <w:bidi w:val="0"/>
              <w:spacing w:before="0" w:after="283"/>
              <w:ind w:left="0" w:right="0" w:hanging="360"/>
              <w:jc w:val="left"/>
              <w:rPr/>
            </w:pPr>
            <w:r>
              <w:rPr/>
              <w:t>)</w:t>
            </w:r>
          </w:p>
        </w:tc>
      </w:tr>
      <w:tr>
        <w:trPr/>
        <w:tc>
          <w:tcPr>
            <w:tcW w:w="7412" w:type="dxa"/>
            <w:tcBorders/>
            <w:shd w:fill="CCEEFF" w:val="clear"/>
            <w:vAlign w:val="center"/>
          </w:tcPr>
          <w:p>
            <w:pPr>
              <w:pStyle w:val="TableContents"/>
              <w:bidi w:val="0"/>
              <w:spacing w:before="0" w:after="283"/>
              <w:jc w:val="both"/>
              <w:rPr/>
            </w:pPr>
            <w:r>
              <w:rPr/>
              <w:t>Taxes payable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(855</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881</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287</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b/>
              </w:rPr>
            </w:pPr>
            <w:r>
              <w:rPr>
                <w:b/>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2,900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(2,389</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both"/>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(77</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ind w:left="0" w:right="0" w:hanging="360"/>
              <w:jc w:val="left"/>
              <w:rPr/>
            </w:pPr>
            <w:r>
              <w:rPr/>
              <w:t>)</w:t>
            </w:r>
          </w:p>
        </w:tc>
      </w:tr>
      <w:tr>
        <w:trPr/>
        <w:tc>
          <w:tcPr>
            <w:tcW w:w="7412" w:type="dxa"/>
            <w:tcBorders/>
            <w:shd w:fill="CCEEFF" w:val="clear"/>
            <w:vAlign w:val="center"/>
          </w:tcPr>
          <w:p>
            <w:pPr>
              <w:pStyle w:val="TableContents"/>
              <w:bidi w:val="0"/>
              <w:spacing w:before="0" w:after="283"/>
              <w:jc w:val="both"/>
              <w:rPr/>
            </w:pPr>
            <w:r>
              <w:rPr/>
              <w:t>Purchases of held-to-maturity investments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(109,501</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7412" w:type="dxa"/>
            <w:tcBorders/>
            <w:shd w:fill="FFFFFF" w:val="clear"/>
            <w:vAlign w:val="center"/>
          </w:tcPr>
          <w:p>
            <w:pPr>
              <w:pStyle w:val="TableContents"/>
              <w:bidi w:val="0"/>
              <w:spacing w:before="0" w:after="283"/>
              <w:jc w:val="both"/>
              <w:rPr/>
            </w:pPr>
            <w:r>
              <w:rPr/>
              <w:t>Redemptions of held-to-maturity investments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112,501</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pPr>
            <w:r>
              <w:rPr/>
              <w:t>Acquisition of intangible assets, including intellectual property rights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7412" w:type="dxa"/>
            <w:tcBorders/>
            <w:shd w:fill="FFFFFF" w:val="clear"/>
            <w:vAlign w:val="center"/>
          </w:tcPr>
          <w:p>
            <w:pPr>
              <w:pStyle w:val="TableContents"/>
              <w:bidi w:val="0"/>
              <w:spacing w:before="0" w:after="283"/>
              <w:jc w:val="both"/>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(162</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(1,274</w:t>
            </w:r>
          </w:p>
        </w:tc>
        <w:tc>
          <w:tcPr>
            <w:tcW w:w="110" w:type="dxa"/>
            <w:tcBorders/>
            <w:shd w:fill="FFFFFF" w:val="clear"/>
            <w:vAlign w:val="center"/>
          </w:tcPr>
          <w:p>
            <w:pPr>
              <w:pStyle w:val="TableContents"/>
              <w:bidi w:val="0"/>
              <w:spacing w:before="0" w:after="283"/>
              <w:ind w:left="0" w:right="0" w:hanging="360"/>
              <w:jc w:val="left"/>
              <w:rPr/>
            </w:pPr>
            <w:r>
              <w:rPr/>
              <w:t>)</w:t>
            </w:r>
          </w:p>
        </w:tc>
      </w:tr>
      <w:tr>
        <w:trPr/>
        <w:tc>
          <w:tcPr>
            <w:tcW w:w="7412" w:type="dxa"/>
            <w:tcBorders/>
            <w:shd w:fill="CCEEFF" w:val="clear"/>
            <w:vAlign w:val="center"/>
          </w:tcPr>
          <w:p>
            <w:pPr>
              <w:pStyle w:val="TableContents"/>
              <w:bidi w:val="0"/>
              <w:spacing w:before="0" w:after="283"/>
              <w:jc w:val="both"/>
              <w:rPr>
                <w:b/>
              </w:rPr>
            </w:pPr>
            <w:r>
              <w:rPr>
                <w:b/>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(239</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1,674</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both"/>
              <w:rPr/>
            </w:pPr>
            <w:r>
              <w:rPr/>
              <w:t>Cash paid for employee withholding taxes related to the vesting of restricted stock units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(555</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(244</w:t>
            </w:r>
          </w:p>
        </w:tc>
        <w:tc>
          <w:tcPr>
            <w:tcW w:w="110" w:type="dxa"/>
            <w:tcBorders/>
            <w:shd w:fill="FFFFFF" w:val="clear"/>
            <w:vAlign w:val="center"/>
          </w:tcPr>
          <w:p>
            <w:pPr>
              <w:pStyle w:val="TableContents"/>
              <w:bidi w:val="0"/>
              <w:spacing w:before="0" w:after="283"/>
              <w:ind w:left="0" w:right="0" w:hanging="360"/>
              <w:jc w:val="left"/>
              <w:rPr/>
            </w:pPr>
            <w:r>
              <w:rPr/>
              <w:t>)</w:t>
            </w:r>
          </w:p>
        </w:tc>
      </w:tr>
      <w:tr>
        <w:trPr/>
        <w:tc>
          <w:tcPr>
            <w:tcW w:w="7412" w:type="dxa"/>
            <w:tcBorders/>
            <w:shd w:fill="CCEEFF" w:val="clear"/>
            <w:vAlign w:val="center"/>
          </w:tcPr>
          <w:p>
            <w:pPr>
              <w:pStyle w:val="TableContents"/>
              <w:bidi w:val="0"/>
              <w:spacing w:before="0" w:after="283"/>
              <w:jc w:val="both"/>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145</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both"/>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(7,522</w:t>
            </w:r>
          </w:p>
        </w:tc>
        <w:tc>
          <w:tcPr>
            <w:tcW w:w="110" w:type="dxa"/>
            <w:tcBorders/>
            <w:shd w:fill="FFFFFF" w:val="clear"/>
            <w:vAlign w:val="center"/>
          </w:tcPr>
          <w:p>
            <w:pPr>
              <w:pStyle w:val="TableContents"/>
              <w:bidi w:val="0"/>
              <w:spacing w:before="0" w:after="283"/>
              <w:ind w:left="0" w:right="0" w:hanging="360"/>
              <w:jc w:val="left"/>
              <w:rPr/>
            </w:pPr>
            <w:r>
              <w:rPr/>
              <w:t>)</w:t>
            </w:r>
          </w:p>
        </w:tc>
      </w:tr>
      <w:tr>
        <w:trPr/>
        <w:tc>
          <w:tcPr>
            <w:tcW w:w="7412" w:type="dxa"/>
            <w:tcBorders/>
            <w:shd w:fill="CCEEFF" w:val="clear"/>
            <w:vAlign w:val="center"/>
          </w:tcPr>
          <w:p>
            <w:pPr>
              <w:pStyle w:val="TableContents"/>
              <w:bidi w:val="0"/>
              <w:spacing w:before="0" w:after="283"/>
              <w:jc w:val="both"/>
              <w:rPr/>
            </w:pPr>
            <w:r>
              <w:rPr/>
              <w:t>Repayment of long-term debt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(1,000</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both"/>
              <w:rPr>
                <w:b/>
              </w:rPr>
            </w:pPr>
            <w:r>
              <w:rPr>
                <w:b/>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(1,555</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(7,621</w:t>
            </w:r>
          </w:p>
        </w:tc>
        <w:tc>
          <w:tcPr>
            <w:tcW w:w="110" w:type="dxa"/>
            <w:tcBorders/>
            <w:shd w:fill="FFFFFF" w:val="clear"/>
            <w:vAlign w:val="center"/>
          </w:tcPr>
          <w:p>
            <w:pPr>
              <w:pStyle w:val="TableContents"/>
              <w:bidi w:val="0"/>
              <w:spacing w:before="0" w:after="283"/>
              <w:ind w:left="0" w:right="0" w:hanging="360"/>
              <w:jc w:val="left"/>
              <w:rPr/>
            </w:pPr>
            <w:r>
              <w:rPr/>
              <w:t>)</w:t>
            </w:r>
          </w:p>
        </w:tc>
      </w:tr>
      <w:tr>
        <w:trPr/>
        <w:tc>
          <w:tcPr>
            <w:tcW w:w="7412" w:type="dxa"/>
            <w:tcBorders/>
            <w:shd w:fill="CCEEFF" w:val="clear"/>
            <w:vAlign w:val="center"/>
          </w:tcPr>
          <w:p>
            <w:pPr>
              <w:pStyle w:val="TableContents"/>
              <w:bidi w:val="0"/>
              <w:spacing w:before="0" w:after="283"/>
              <w:jc w:val="both"/>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1,106</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(8,335</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7412" w:type="dxa"/>
            <w:tcBorders/>
            <w:shd w:fill="FFFFFF" w:val="clear"/>
            <w:vAlign w:val="center"/>
          </w:tcPr>
          <w:p>
            <w:pPr>
              <w:pStyle w:val="TableContents"/>
              <w:bidi w:val="0"/>
              <w:spacing w:before="0" w:after="283"/>
              <w:jc w:val="both"/>
              <w:rPr>
                <w:b/>
              </w:rPr>
            </w:pPr>
            <w:r>
              <w:rPr>
                <w:b/>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13,852</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18,209</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0" w:type="dxa"/>
            <w:tcBorders>
              <w:bottom w:val="double" w:sz="10" w:space="0" w:color="000000"/>
            </w:tcBorders>
            <w:shd w:fill="CCEEFF" w:val="clear"/>
            <w:tcMar>
              <w:bottom w:w="28" w:type="dxa"/>
            </w:tcMar>
            <w:vAlign w:val="center"/>
          </w:tcPr>
          <w:p>
            <w:pPr>
              <w:pStyle w:val="TableContents"/>
              <w:bidi w:val="0"/>
              <w:spacing w:before="0" w:after="283"/>
              <w:jc w:val="right"/>
              <w:rPr/>
            </w:pPr>
            <w:r>
              <w:rPr/>
              <w:t>14,958</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3" w:type="dxa"/>
            <w:tcBorders>
              <w:bottom w:val="double" w:sz="10" w:space="0" w:color="000000"/>
            </w:tcBorders>
            <w:shd w:fill="CCEEFF" w:val="clear"/>
            <w:tcMar>
              <w:bottom w:w="28" w:type="dxa"/>
            </w:tcMar>
            <w:vAlign w:val="center"/>
          </w:tcPr>
          <w:p>
            <w:pPr>
              <w:pStyle w:val="TableContents"/>
              <w:bidi w:val="0"/>
              <w:spacing w:before="0" w:after="283"/>
              <w:jc w:val="right"/>
              <w:rPr/>
            </w:pPr>
            <w:r>
              <w:rPr/>
              <w:t>9,874</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7412" w:type="dxa"/>
            <w:tcBorders/>
            <w:shd w:fill="FFFFFF" w:val="clear"/>
            <w:vAlign w:val="center"/>
          </w:tcPr>
          <w:p>
            <w:pPr>
              <w:pStyle w:val="TableContents"/>
              <w:bidi w:val="0"/>
              <w:spacing w:before="0" w:after="283"/>
              <w:jc w:val="both"/>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0" w:type="dxa"/>
            <w:tcBorders>
              <w:bottom w:val="double" w:sz="10" w:space="0" w:color="000000"/>
            </w:tcBorders>
            <w:shd w:fill="FFFFFF" w:val="clear"/>
            <w:tcMar>
              <w:bottom w:w="28" w:type="dxa"/>
            </w:tcMar>
            <w:vAlign w:val="center"/>
          </w:tcPr>
          <w:p>
            <w:pPr>
              <w:pStyle w:val="TableContents"/>
              <w:bidi w:val="0"/>
              <w:spacing w:before="0" w:after="283"/>
              <w:jc w:val="right"/>
              <w:rPr/>
            </w:pPr>
            <w:r>
              <w:rPr/>
              <w:t>2,710</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1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412" w:type="dxa"/>
            <w:tcBorders/>
            <w:shd w:fill="CCEEFF" w:val="clear"/>
            <w:vAlign w:val="center"/>
          </w:tcPr>
          <w:p>
            <w:pPr>
              <w:pStyle w:val="TableContents"/>
              <w:bidi w:val="0"/>
              <w:spacing w:before="0" w:after="283"/>
              <w:jc w:val="both"/>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0" w:type="dxa"/>
            <w:tcBorders>
              <w:bottom w:val="double" w:sz="10" w:space="0" w:color="000000"/>
            </w:tcBorders>
            <w:shd w:fill="CCEEFF" w:val="clear"/>
            <w:tcMar>
              <w:bottom w:w="28" w:type="dxa"/>
            </w:tcMar>
            <w:vAlign w:val="center"/>
          </w:tcPr>
          <w:p>
            <w:pPr>
              <w:pStyle w:val="TableContents"/>
              <w:bidi w:val="0"/>
              <w:spacing w:before="0" w:after="283"/>
              <w:jc w:val="right"/>
              <w:rPr/>
            </w:pPr>
            <w:r>
              <w:rPr/>
              <w:t>110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FINANCIAL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785"/>
        <w:gridCol w:w="60"/>
        <w:gridCol w:w="160"/>
        <w:gridCol w:w="1260"/>
        <w:gridCol w:w="108"/>
        <w:gridCol w:w="68"/>
        <w:gridCol w:w="160"/>
        <w:gridCol w:w="1260"/>
        <w:gridCol w:w="95"/>
        <w:gridCol w:w="60"/>
        <w:gridCol w:w="144"/>
        <w:gridCol w:w="1135"/>
        <w:gridCol w:w="98"/>
        <w:gridCol w:w="61"/>
        <w:gridCol w:w="144"/>
        <w:gridCol w:w="1135"/>
        <w:gridCol w:w="110"/>
      </w:tblGrid>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0" w:type="dxa"/>
            <w:tcBorders/>
            <w:shd w:fill="CCEEFF" w:val="clear"/>
            <w:vAlign w:val="center"/>
          </w:tcPr>
          <w:p>
            <w:pPr>
              <w:pStyle w:val="TableContents"/>
              <w:bidi w:val="0"/>
              <w:spacing w:before="0" w:after="283"/>
              <w:jc w:val="right"/>
              <w:rPr/>
            </w:pPr>
            <w:r>
              <w:rPr/>
              <w:t>(4,008</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0" w:type="dxa"/>
            <w:tcBorders/>
            <w:shd w:fill="CCEEFF" w:val="clear"/>
            <w:vAlign w:val="center"/>
          </w:tcPr>
          <w:p>
            <w:pPr>
              <w:pStyle w:val="TableContents"/>
              <w:bidi w:val="0"/>
              <w:spacing w:before="0" w:after="283"/>
              <w:jc w:val="right"/>
              <w:rPr/>
            </w:pPr>
            <w:r>
              <w:rPr/>
              <w:t>(4,128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(10,908</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(10,493</w:t>
            </w:r>
          </w:p>
        </w:tc>
        <w:tc>
          <w:tcPr>
            <w:tcW w:w="110" w:type="dxa"/>
            <w:tcBorders/>
            <w:shd w:fill="CCEEFF" w:val="clear"/>
            <w:vAlign w:val="center"/>
          </w:tcPr>
          <w:p>
            <w:pPr>
              <w:pStyle w:val="TableContents"/>
              <w:bidi w:val="0"/>
              <w:spacing w:before="0" w:after="283"/>
              <w:jc w:val="left"/>
              <w:rPr/>
            </w:pPr>
            <w:r>
              <w:rPr/>
              <w:t>)</w:t>
            </w:r>
          </w:p>
        </w:tc>
      </w:tr>
      <w:tr>
        <w:trPr/>
        <w:tc>
          <w:tcPr>
            <w:tcW w:w="3785"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1,073</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2,140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929</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2,903</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3,503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5,926</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7,884</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both"/>
              <w:rPr/>
            </w:pPr>
            <w:r>
              <w:rPr/>
              <w:t>Severance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241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660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(75</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(75</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both"/>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182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365</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Acquisition expenses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243</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both"/>
              <w:rPr/>
            </w:pPr>
            <w:r>
              <w:rPr/>
              <w:t>Non-GAAP net income (loss)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0" w:type="dxa"/>
            <w:tcBorders>
              <w:bottom w:val="double" w:sz="10" w:space="0" w:color="000000"/>
            </w:tcBorders>
            <w:shd w:fill="FFFFFF" w:val="clear"/>
            <w:tcMar>
              <w:bottom w:w="28" w:type="dxa"/>
            </w:tcMar>
            <w:vAlign w:val="center"/>
          </w:tcPr>
          <w:p>
            <w:pPr>
              <w:pStyle w:val="TableContents"/>
              <w:bidi w:val="0"/>
              <w:spacing w:before="0" w:after="283"/>
              <w:jc w:val="right"/>
              <w:rPr/>
            </w:pPr>
            <w:r>
              <w:rPr/>
              <w:t>316</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0" w:type="dxa"/>
            <w:tcBorders>
              <w:bottom w:val="double" w:sz="10" w:space="0" w:color="000000"/>
            </w:tcBorders>
            <w:shd w:fill="FFFFFF" w:val="clear"/>
            <w:tcMar>
              <w:bottom w:w="28" w:type="dxa"/>
            </w:tcM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5" w:type="dxa"/>
            <w:tcBorders>
              <w:bottom w:val="double" w:sz="10" w:space="0" w:color="000000"/>
            </w:tcBorders>
            <w:shd w:fill="FFFFFF" w:val="clear"/>
            <w:tcMar>
              <w:bottom w:w="28" w:type="dxa"/>
            </w:tcMar>
            <w:vAlign w:val="center"/>
          </w:tcPr>
          <w:p>
            <w:pPr>
              <w:pStyle w:val="TableContents"/>
              <w:bidi w:val="0"/>
              <w:spacing w:before="0" w:after="283"/>
              <w:jc w:val="right"/>
              <w:rPr/>
            </w:pPr>
            <w:r>
              <w:rPr/>
              <w:t>(1,649</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5" w:type="dxa"/>
            <w:tcBorders>
              <w:bottom w:val="double" w:sz="10" w:space="0" w:color="000000"/>
            </w:tcBorders>
            <w:shd w:fill="FFFFFF" w:val="clear"/>
            <w:tcMar>
              <w:bottom w:w="28" w:type="dxa"/>
            </w:tcMar>
            <w:vAlign w:val="center"/>
          </w:tcPr>
          <w:p>
            <w:pPr>
              <w:pStyle w:val="TableContents"/>
              <w:bidi w:val="0"/>
              <w:spacing w:before="0" w:after="283"/>
              <w:jc w:val="right"/>
              <w:rPr/>
            </w:pPr>
            <w:r>
              <w:rPr/>
              <w:t>(1,681</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both"/>
              <w:rPr/>
            </w:pPr>
            <w:r>
              <w:rPr/>
              <w:t>Non-GAAP net income (loss) per share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Diluted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0"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5" w:type="dxa"/>
            <w:tcBorders>
              <w:bottom w:val="double" w:sz="10" w:space="0" w:color="000000"/>
            </w:tcBorders>
            <w:shd w:fill="CCEEFF" w:val="clear"/>
            <w:tcMar>
              <w:bottom w:w="28" w:type="dxa"/>
            </w:tcMar>
            <w:vAlign w:val="center"/>
          </w:tcPr>
          <w:p>
            <w:pPr>
              <w:pStyle w:val="TableContents"/>
              <w:bidi w:val="0"/>
              <w:spacing w:before="0" w:after="283"/>
              <w:jc w:val="right"/>
              <w:rPr/>
            </w:pPr>
            <w:r>
              <w:rPr/>
              <w:t>(0.09</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5" w:type="dxa"/>
            <w:tcBorders>
              <w:bottom w:val="double" w:sz="10" w:space="0" w:color="000000"/>
            </w:tcBorders>
            <w:shd w:fill="CCEEFF" w:val="clear"/>
            <w:tcMar>
              <w:bottom w:w="28" w:type="dxa"/>
            </w:tcMar>
            <w:vAlign w:val="center"/>
          </w:tcPr>
          <w:p>
            <w:pPr>
              <w:pStyle w:val="TableContents"/>
              <w:bidi w:val="0"/>
              <w:spacing w:before="0" w:after="283"/>
              <w:jc w:val="right"/>
              <w:rPr/>
            </w:pPr>
            <w:r>
              <w:rPr/>
              <w:t>(0.10</w:t>
            </w:r>
          </w:p>
        </w:tc>
        <w:tc>
          <w:tcPr>
            <w:tcW w:w="110" w:type="dxa"/>
            <w:tcBorders/>
            <w:shd w:fill="CCEEFF" w:val="clear"/>
            <w:vAlign w:val="center"/>
          </w:tcPr>
          <w:p>
            <w:pPr>
              <w:pStyle w:val="TableContents"/>
              <w:bidi w:val="0"/>
              <w:spacing w:before="0" w:after="283"/>
              <w:jc w:val="left"/>
              <w:rPr/>
            </w:pPr>
            <w:r>
              <w:rPr/>
              <w:t>)</w:t>
            </w:r>
          </w:p>
        </w:tc>
      </w:tr>
      <w:tr>
        <w:trPr/>
        <w:tc>
          <w:tcPr>
            <w:tcW w:w="3785" w:type="dxa"/>
            <w:tcBorders/>
            <w:shd w:fill="FFFFFF" w:val="clear"/>
            <w:vAlign w:val="center"/>
          </w:tcPr>
          <w:p>
            <w:pPr>
              <w:pStyle w:val="TableContents"/>
              <w:bidi w:val="0"/>
              <w:spacing w:before="0" w:after="283"/>
              <w:jc w:val="both"/>
              <w:rPr/>
            </w:pPr>
            <w:r>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Diluted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double" w:sz="10" w:space="0" w:color="000000"/>
            </w:tcBorders>
            <w:shd w:fill="CCEEFF" w:val="clear"/>
            <w:tcMar>
              <w:bottom w:w="28" w:type="dxa"/>
            </w:tcMar>
            <w:vAlign w:val="center"/>
          </w:tcPr>
          <w:p>
            <w:pPr>
              <w:pStyle w:val="TableContents"/>
              <w:bidi w:val="0"/>
              <w:spacing w:before="0" w:after="283"/>
              <w:jc w:val="right"/>
              <w:rPr/>
            </w:pPr>
            <w:r>
              <w:rPr/>
              <w:t>18,358,543</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double" w:sz="10" w:space="0" w:color="000000"/>
            </w:tcBorders>
            <w:shd w:fill="CCEEFF" w:val="clear"/>
            <w:tcMar>
              <w:bottom w:w="28" w:type="dxa"/>
            </w:tcMar>
            <w:vAlign w:val="center"/>
          </w:tcPr>
          <w:p>
            <w:pPr>
              <w:pStyle w:val="TableContents"/>
              <w:bidi w:val="0"/>
              <w:spacing w:before="0" w:after="283"/>
              <w:jc w:val="right"/>
              <w:rPr/>
            </w:pPr>
            <w:r>
              <w:rPr/>
              <w:t>16,992,100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double" w:sz="10" w:space="0" w:color="000000"/>
            </w:tcBorders>
            <w:shd w:fill="CCEEFF" w:val="clear"/>
            <w:tcMar>
              <w:bottom w:w="28" w:type="dxa"/>
            </w:tcMar>
            <w:vAlign w:val="center"/>
          </w:tcPr>
          <w:p>
            <w:pPr>
              <w:pStyle w:val="TableContents"/>
              <w:bidi w:val="0"/>
              <w:spacing w:before="0" w:after="283"/>
              <w:jc w:val="right"/>
              <w:rPr/>
            </w:pPr>
            <w:r>
              <w:rPr/>
              <w:t>18,213,922</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double" w:sz="10" w:space="0" w:color="000000"/>
            </w:tcBorders>
            <w:shd w:fill="CCEEFF" w:val="clear"/>
            <w:tcMar>
              <w:bottom w:w="28" w:type="dxa"/>
            </w:tcMar>
            <w:vAlign w:val="center"/>
          </w:tcPr>
          <w:p>
            <w:pPr>
              <w:pStyle w:val="TableContents"/>
              <w:bidi w:val="0"/>
              <w:spacing w:before="0" w:after="283"/>
              <w:jc w:val="right"/>
              <w:rPr/>
            </w:pPr>
            <w:r>
              <w:rPr/>
              <w:t>17,043,793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616" w:type="dxa"/>
        <w:jc w:val="left"/>
        <w:tblInd w:w="0" w:type="dxa"/>
        <w:tblLayout w:type="fixed"/>
        <w:tblCellMar>
          <w:top w:w="0" w:type="dxa"/>
          <w:left w:w="0" w:type="dxa"/>
          <w:bottom w:w="0" w:type="dxa"/>
          <w:right w:w="0" w:type="dxa"/>
        </w:tblCellMar>
      </w:tblPr>
      <w:tblGrid>
        <w:gridCol w:w="3560"/>
        <w:gridCol w:w="60"/>
        <w:gridCol w:w="247"/>
        <w:gridCol w:w="1124"/>
        <w:gridCol w:w="168"/>
        <w:gridCol w:w="106"/>
        <w:gridCol w:w="247"/>
        <w:gridCol w:w="1124"/>
        <w:gridCol w:w="95"/>
        <w:gridCol w:w="60"/>
        <w:gridCol w:w="195"/>
        <w:gridCol w:w="1055"/>
        <w:gridCol w:w="132"/>
        <w:gridCol w:w="83"/>
        <w:gridCol w:w="195"/>
        <w:gridCol w:w="1055"/>
        <w:gridCol w:w="110"/>
      </w:tblGrid>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6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(4,008</w:t>
            </w:r>
          </w:p>
        </w:tc>
        <w:tc>
          <w:tcPr>
            <w:tcW w:w="16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(4,128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(10,908</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(10,493</w:t>
            </w:r>
          </w:p>
        </w:tc>
        <w:tc>
          <w:tcPr>
            <w:tcW w:w="11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1,073</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2,140</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929</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pPr>
            <w:r>
              <w:rPr/>
              <w:t>Expense (benefit) from  income taxes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(1,088</w:t>
            </w:r>
          </w:p>
        </w:tc>
        <w:tc>
          <w:tcPr>
            <w:tcW w:w="16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(744</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2,903</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3,503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5,926</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7,884</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pPr>
            <w:r>
              <w:rPr/>
              <w:t>Severance expenses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241</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660</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pPr>
            <w:r>
              <w:rPr/>
              <w:t>Acquisition expenses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243</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(75</w:t>
            </w:r>
          </w:p>
        </w:tc>
        <w:tc>
          <w:tcPr>
            <w:tcW w:w="16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FFFFFF" w:val="clear"/>
            <w:tcMar>
              <w:bottom w:w="28" w:type="dxa"/>
            </w:tcMar>
            <w:vAlign w:val="center"/>
          </w:tcPr>
          <w:p>
            <w:pPr>
              <w:pStyle w:val="TableContents"/>
              <w:bidi w:val="0"/>
              <w:spacing w:before="0" w:after="283"/>
              <w:jc w:val="right"/>
              <w:rPr/>
            </w:pPr>
            <w:r>
              <w:rPr/>
              <w:t>1,422</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FFFFFF" w:val="clear"/>
            <w:tcMar>
              <w:bottom w:w="28" w:type="dxa"/>
            </w:tcMar>
            <w:vAlign w:val="center"/>
          </w:tcPr>
          <w:p>
            <w:pPr>
              <w:pStyle w:val="TableContents"/>
              <w:bidi w:val="0"/>
              <w:spacing w:before="0" w:after="283"/>
              <w:jc w:val="right"/>
              <w:rPr/>
            </w:pPr>
            <w:r>
              <w:rPr/>
              <w:t>(721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2,949</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(1,386</w:t>
            </w:r>
          </w:p>
        </w:tc>
        <w:tc>
          <w:tcPr>
            <w:tcW w:w="110" w:type="dxa"/>
            <w:tcBorders/>
            <w:shd w:fill="FFFFFF" w:val="clear"/>
            <w:vAlign w:val="center"/>
          </w:tcPr>
          <w:p>
            <w:pPr>
              <w:pStyle w:val="TableContents"/>
              <w:bidi w:val="0"/>
              <w:spacing w:before="0" w:after="283"/>
              <w:jc w:val="left"/>
              <w:rPr/>
            </w:pPr>
            <w:r>
              <w:rPr/>
              <w:t>)</w:t>
            </w:r>
          </w:p>
        </w:tc>
      </w:tr>
      <w:tr>
        <w:trPr/>
        <w:tc>
          <w:tcPr>
            <w:tcW w:w="3560" w:type="dxa"/>
            <w:tcBorders/>
            <w:shd w:fill="CCEEFF" w:val="clear"/>
            <w:vAlign w:val="center"/>
          </w:tcPr>
          <w:p>
            <w:pPr>
              <w:pStyle w:val="TableContents"/>
              <w:bidi w:val="0"/>
              <w:spacing w:before="0" w:after="283"/>
              <w:jc w:val="both"/>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double" w:sz="10" w:space="0" w:color="000000"/>
            </w:tcBorders>
            <w:shd w:fill="CCEEFF" w:val="clear"/>
            <w:tcMar>
              <w:bottom w:w="28" w:type="dxa"/>
            </w:tcMar>
            <w:vAlign w:val="center"/>
          </w:tcPr>
          <w:p>
            <w:pPr>
              <w:pStyle w:val="TableContents"/>
              <w:bidi w:val="0"/>
              <w:spacing w:before="0" w:after="283"/>
              <w:jc w:val="right"/>
              <w:rPr/>
            </w:pPr>
            <w:r>
              <w:rPr/>
              <w:t>468</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double" w:sz="10" w:space="0" w:color="000000"/>
            </w:tcBorders>
            <w:shd w:fill="CCEEFF" w:val="clear"/>
            <w:tcMar>
              <w:bottom w:w="28" w:type="dxa"/>
            </w:tcM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191</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3192</Words>
  <Characters>17821</Characters>
  <CharactersWithSpaces>21521</CharactersWithSpaces>
  <Paragraphs>1856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