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499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9808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WASSON GREGORY D</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20" w:type="dxa"/>
            <w:vAlign w:val="bottom"/>
            <w:gridSpan w:val="7"/>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OptimizeRx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OPRX</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gridSpan w:val="2"/>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840" w:type="dxa"/>
            <w:vAlign w:val="bottom"/>
            <w:tcBorders>
              <w:top w:val="single" w:sz="8" w:color="0000EE"/>
            </w:tcBorders>
          </w:tcPr>
          <w:p>
            <w:pPr>
              <w:spacing w:after="0"/>
              <w:rPr>
                <w:sz w:val="9"/>
                <w:szCs w:val="9"/>
                <w:color w:val="auto"/>
              </w:rPr>
            </w:pPr>
          </w:p>
        </w:tc>
        <w:tc>
          <w:tcPr>
            <w:tcW w:w="660" w:type="dxa"/>
            <w:vAlign w:val="bottom"/>
            <w:tcBorders>
              <w:top w:val="single" w:sz="8" w:color="0000EE"/>
            </w:tcBorders>
          </w:tcPr>
          <w:p>
            <w:pPr>
              <w:spacing w:after="0"/>
              <w:rPr>
                <w:sz w:val="9"/>
                <w:szCs w:val="9"/>
                <w:color w:val="auto"/>
              </w:rPr>
            </w:pPr>
          </w:p>
        </w:tc>
        <w:tc>
          <w:tcPr>
            <w:tcW w:w="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03/31/2023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400 WATER STREET, SUITE 200</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8"/>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ROCHESTER   MI</w:t>
            </w: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48307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48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6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03/31/2023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657</w:t>
            </w:r>
          </w:p>
        </w:tc>
        <w:tc>
          <w:tcPr>
            <w:tcW w:w="66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240"/>
              <w:spacing w:after="0" w:line="313"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19,331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657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03/31/2023</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657</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657 restricted stock units which vested in full on March 30, 2023.</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right="220"/>
        <w:spacing w:after="0" w:line="260"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04/03/2023</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8827"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2023-04-03T11:24:11Z</dcterms:created>
  <dcterms:modified xsi:type="dcterms:W3CDTF">2023-04-03T11:24:11Z</dcterms:modified>
</cp:coreProperties>
</file>