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March 10, 2020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OptimizeRx Corporation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51"/>
        </w:trPr>
        <w:tc>
          <w:tcPr>
            <w:tcW w:w="4480" w:type="dxa"/>
            <w:vAlign w:val="bottom"/>
            <w:gridSpan w:val="3"/>
          </w:tcPr>
          <w:p>
            <w:pPr>
              <w:ind w:left="1540"/>
              <w:spacing w:after="0"/>
              <w:rPr>
                <w:sz w:val="20"/>
                <w:szCs w:val="20"/>
                <w:color w:val="auto"/>
              </w:rPr>
            </w:pPr>
            <w:r>
              <w:rPr>
                <w:rFonts w:ascii="Arial" w:cs="Arial" w:eastAsia="Arial" w:hAnsi="Arial"/>
                <w:sz w:val="18"/>
                <w:szCs w:val="18"/>
                <w:color w:val="auto"/>
              </w:rPr>
              <w:t>Nevada</w:t>
            </w:r>
          </w:p>
        </w:tc>
        <w:tc>
          <w:tcPr>
            <w:tcW w:w="2960" w:type="dxa"/>
            <w:vAlign w:val="bottom"/>
            <w:gridSpan w:val="3"/>
          </w:tcPr>
          <w:p>
            <w:pPr>
              <w:jc w:val="right"/>
              <w:ind w:right="1420"/>
              <w:spacing w:after="0"/>
              <w:rPr>
                <w:sz w:val="20"/>
                <w:szCs w:val="20"/>
                <w:color w:val="auto"/>
              </w:rPr>
            </w:pPr>
            <w:r>
              <w:rPr>
                <w:rFonts w:ascii="Arial" w:cs="Arial" w:eastAsia="Arial" w:hAnsi="Arial"/>
                <w:sz w:val="18"/>
                <w:szCs w:val="18"/>
                <w:color w:val="auto"/>
              </w:rPr>
              <w:t>001-38543</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26-1265381</w:t>
            </w:r>
          </w:p>
        </w:tc>
      </w:tr>
      <w:tr>
        <w:trPr>
          <w:trHeight w:val="202"/>
        </w:trPr>
        <w:tc>
          <w:tcPr>
            <w:tcW w:w="3620" w:type="dxa"/>
            <w:vAlign w:val="bottom"/>
            <w:tcBorders>
              <w:top w:val="single" w:sz="8" w:color="auto"/>
            </w:tcBorders>
          </w:tcPr>
          <w:p>
            <w:pPr>
              <w:ind w:left="840"/>
              <w:spacing w:after="0" w:line="201" w:lineRule="exact"/>
              <w:rPr>
                <w:sz w:val="20"/>
                <w:szCs w:val="20"/>
                <w:color w:val="auto"/>
              </w:rPr>
            </w:pPr>
            <w:r>
              <w:rPr>
                <w:rFonts w:ascii="Arial" w:cs="Arial" w:eastAsia="Arial" w:hAnsi="Arial"/>
                <w:sz w:val="18"/>
                <w:szCs w:val="18"/>
                <w:color w:val="auto"/>
              </w:rPr>
              <w:t>(State or other jurisdiction</w:t>
            </w:r>
          </w:p>
        </w:tc>
        <w:tc>
          <w:tcPr>
            <w:tcW w:w="22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960" w:type="dxa"/>
            <w:vAlign w:val="bottom"/>
            <w:tcBorders>
              <w:top w:val="single" w:sz="8" w:color="auto"/>
            </w:tcBorders>
            <w:gridSpan w:val="3"/>
          </w:tcPr>
          <w:p>
            <w:pPr>
              <w:jc w:val="center"/>
              <w:ind w:right="640"/>
              <w:spacing w:after="0" w:line="201" w:lineRule="exact"/>
              <w:rPr>
                <w:sz w:val="20"/>
                <w:szCs w:val="20"/>
                <w:color w:val="auto"/>
              </w:rPr>
            </w:pPr>
            <w:r>
              <w:rPr>
                <w:rFonts w:ascii="Arial" w:cs="Arial" w:eastAsia="Arial" w:hAnsi="Arial"/>
                <w:sz w:val="18"/>
                <w:szCs w:val="18"/>
                <w:color w:val="auto"/>
                <w:w w:val="93"/>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4480" w:type="dxa"/>
            <w:vAlign w:val="bottom"/>
            <w:gridSpan w:val="3"/>
          </w:tcPr>
          <w:p>
            <w:pPr>
              <w:ind w:left="1200"/>
              <w:spacing w:after="0"/>
              <w:rPr>
                <w:sz w:val="20"/>
                <w:szCs w:val="20"/>
                <w:color w:val="auto"/>
              </w:rPr>
            </w:pPr>
            <w:r>
              <w:rPr>
                <w:rFonts w:ascii="Arial" w:cs="Arial" w:eastAsia="Arial" w:hAnsi="Arial"/>
                <w:sz w:val="18"/>
                <w:szCs w:val="18"/>
                <w:color w:val="auto"/>
              </w:rPr>
              <w:t>of incorporation)</w:t>
            </w: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53"/>
        </w:trPr>
        <w:tc>
          <w:tcPr>
            <w:tcW w:w="4480" w:type="dxa"/>
            <w:vAlign w:val="bottom"/>
            <w:tcBorders>
              <w:bottom w:val="single" w:sz="8" w:color="auto"/>
            </w:tcBorders>
            <w:gridSpan w:val="3"/>
          </w:tcPr>
          <w:p>
            <w:pPr>
              <w:ind w:left="1220"/>
              <w:spacing w:after="0"/>
              <w:rPr>
                <w:sz w:val="20"/>
                <w:szCs w:val="20"/>
                <w:color w:val="auto"/>
              </w:rPr>
            </w:pPr>
            <w:r>
              <w:rPr>
                <w:rFonts w:ascii="Arial" w:cs="Arial" w:eastAsia="Arial" w:hAnsi="Arial"/>
                <w:sz w:val="18"/>
                <w:szCs w:val="18"/>
                <w:color w:val="auto"/>
                <w:w w:val="94"/>
              </w:rPr>
              <w:t>400 Water Street, Suite 200, Rochester, MI</w:t>
            </w:r>
          </w:p>
        </w:tc>
        <w:tc>
          <w:tcPr>
            <w:tcW w:w="10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jc w:val="right"/>
              <w:ind w:right="2430"/>
              <w:spacing w:after="0"/>
              <w:rPr>
                <w:sz w:val="20"/>
                <w:szCs w:val="20"/>
                <w:color w:val="auto"/>
              </w:rPr>
            </w:pPr>
            <w:r>
              <w:rPr>
                <w:rFonts w:ascii="Arial" w:cs="Arial" w:eastAsia="Arial" w:hAnsi="Arial"/>
                <w:sz w:val="18"/>
                <w:szCs w:val="18"/>
                <w:color w:val="auto"/>
              </w:rPr>
              <w:t>48307</w:t>
            </w:r>
          </w:p>
        </w:tc>
      </w:tr>
      <w:tr>
        <w:trPr>
          <w:trHeight w:val="230"/>
        </w:trPr>
        <w:tc>
          <w:tcPr>
            <w:tcW w:w="4480" w:type="dxa"/>
            <w:vAlign w:val="bottom"/>
            <w:gridSpan w:val="3"/>
          </w:tcPr>
          <w:p>
            <w:pPr>
              <w:ind w:left="1340"/>
              <w:spacing w:after="0"/>
              <w:rPr>
                <w:sz w:val="20"/>
                <w:szCs w:val="20"/>
                <w:color w:val="auto"/>
              </w:rPr>
            </w:pPr>
            <w:r>
              <w:rPr>
                <w:rFonts w:ascii="Arial" w:cs="Arial" w:eastAsia="Arial" w:hAnsi="Arial"/>
                <w:sz w:val="18"/>
                <w:szCs w:val="18"/>
                <w:color w:val="auto"/>
              </w:rPr>
              <w:t>(Address of principal executive offices)</w:t>
            </w: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810"/>
              <w:spacing w:after="0"/>
              <w:rPr>
                <w:sz w:val="20"/>
                <w:szCs w:val="20"/>
                <w:color w:val="auto"/>
              </w:rPr>
            </w:pPr>
            <w:r>
              <w:rPr>
                <w:rFonts w:ascii="Arial" w:cs="Arial" w:eastAsia="Arial" w:hAnsi="Arial"/>
                <w:sz w:val="18"/>
                <w:szCs w:val="18"/>
                <w:color w:val="auto"/>
                <w:w w:val="91"/>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288925</wp:posOffset>
            </wp:positionV>
            <wp:extent cx="35661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60" w:type="dxa"/>
            <w:vAlign w:val="bottom"/>
            <w:gridSpan w:val="3"/>
          </w:tcPr>
          <w:p>
            <w:pPr>
              <w:spacing w:after="0"/>
              <w:rPr>
                <w:sz w:val="20"/>
                <w:szCs w:val="20"/>
                <w:color w:val="auto"/>
              </w:rPr>
            </w:pPr>
            <w:r>
              <w:rPr>
                <w:rFonts w:ascii="Arial" w:cs="Arial" w:eastAsia="Arial" w:hAnsi="Arial"/>
                <w:sz w:val="18"/>
                <w:szCs w:val="18"/>
                <w:color w:val="auto"/>
                <w:w w:val="94"/>
              </w:rPr>
              <w:t>Securities registered pursuant to Section 12(b) of the Act:</w:t>
            </w: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39"/>
        </w:trPr>
        <w:tc>
          <w:tcPr>
            <w:tcW w:w="4360" w:type="dxa"/>
            <w:vAlign w:val="bottom"/>
            <w:gridSpan w:val="3"/>
          </w:tcPr>
          <w:p>
            <w:pPr>
              <w:jc w:val="center"/>
              <w:ind w:right="960"/>
              <w:spacing w:after="0"/>
              <w:rPr>
                <w:sz w:val="20"/>
                <w:szCs w:val="20"/>
                <w:color w:val="auto"/>
              </w:rPr>
            </w:pPr>
            <w:r>
              <w:rPr>
                <w:rFonts w:ascii="Arial" w:cs="Arial" w:eastAsia="Arial" w:hAnsi="Arial"/>
                <w:sz w:val="18"/>
                <w:szCs w:val="18"/>
                <w:b w:val="1"/>
                <w:bCs w:val="1"/>
                <w:color w:val="auto"/>
                <w:w w:val="87"/>
              </w:rPr>
              <w:t>Title of each class</w:t>
            </w:r>
          </w:p>
        </w:tc>
        <w:tc>
          <w:tcPr>
            <w:tcW w:w="262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90"/>
              </w:rPr>
              <w:t>Trading symbol</w:t>
            </w: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3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Common Stock</w:t>
            </w: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500" w:type="dxa"/>
            <w:vAlign w:val="bottom"/>
            <w:tcBorders>
              <w:top w:val="single" w:sz="8" w:color="auto"/>
            </w:tcBorders>
            <w:shd w:val="clear" w:color="auto" w:fill="CCEEFF"/>
          </w:tcPr>
          <w:p>
            <w:pPr>
              <w:jc w:val="center"/>
              <w:ind w:right="770"/>
              <w:spacing w:after="0"/>
              <w:rPr>
                <w:sz w:val="20"/>
                <w:szCs w:val="20"/>
                <w:color w:val="auto"/>
              </w:rPr>
            </w:pPr>
            <w:r>
              <w:rPr>
                <w:rFonts w:ascii="Arial" w:cs="Arial" w:eastAsia="Arial" w:hAnsi="Arial"/>
                <w:sz w:val="18"/>
                <w:szCs w:val="18"/>
                <w:color w:val="auto"/>
                <w:w w:val="93"/>
              </w:rPr>
              <w:t>OPRX</w:t>
            </w:r>
          </w:p>
        </w:tc>
        <w:tc>
          <w:tcPr>
            <w:tcW w:w="120" w:type="dxa"/>
            <w:vAlign w:val="bottom"/>
            <w:tcBorders>
              <w:top w:val="single" w:sz="8" w:color="CCEEFF"/>
            </w:tcBorders>
            <w:shd w:val="clear" w:color="auto" w:fill="CCEEFF"/>
          </w:tcPr>
          <w:p>
            <w:pPr>
              <w:spacing w:after="0"/>
              <w:rPr>
                <w:sz w:val="18"/>
                <w:szCs w:val="18"/>
                <w:color w:val="auto"/>
              </w:rPr>
            </w:pPr>
          </w:p>
        </w:tc>
        <w:tc>
          <w:tcPr>
            <w:tcW w:w="4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Nasdaq Capital Market</w:t>
            </w:r>
          </w:p>
        </w:tc>
      </w:tr>
      <w:tr>
        <w:trPr>
          <w:trHeight w:val="216"/>
        </w:trPr>
        <w:tc>
          <w:tcPr>
            <w:tcW w:w="33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60" w:type="dxa"/>
            <w:vAlign w:val="bottom"/>
            <w:tcBorders>
              <w:bottom w:val="single" w:sz="8" w:color="auto"/>
            </w:tcBorders>
          </w:tcPr>
          <w:p>
            <w:pPr>
              <w:spacing w:after="0"/>
              <w:rPr>
                <w:sz w:val="18"/>
                <w:szCs w:val="18"/>
                <w:color w:val="auto"/>
              </w:rPr>
            </w:pPr>
          </w:p>
        </w:tc>
      </w:tr>
      <w:tr>
        <w:trPr>
          <w:trHeight w:val="28"/>
        </w:trPr>
        <w:tc>
          <w:tcPr>
            <w:tcW w:w="3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60" w:type="dxa"/>
            <w:vAlign w:val="bottom"/>
            <w:tcBorders>
              <w:bottom w:val="single" w:sz="8" w:color="auto"/>
            </w:tcBorders>
          </w:tcPr>
          <w:p>
            <w:pPr>
              <w:spacing w:after="0"/>
              <w:rPr>
                <w:sz w:val="2"/>
                <w:szCs w:val="2"/>
                <w:color w:val="auto"/>
              </w:rPr>
            </w:pPr>
          </w:p>
        </w:tc>
      </w:tr>
      <w:tr>
        <w:trPr>
          <w:trHeight w:val="682"/>
        </w:trPr>
        <w:tc>
          <w:tcPr>
            <w:tcW w:w="3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45"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On March 10, 2020, we issued a press release announcing that we will host three free webinars this week covering a range of topics around using digital health technology to improve patient care and engagement. A copy of the press release is attached as Exhibit 99.1 to this Current Report on Form 8-K.</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tabs>
          <w:tab w:leader="none" w:pos="100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March 10,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10, 2020</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2619375</wp:posOffset>
            </wp:positionH>
            <wp:positionV relativeFrom="paragraph">
              <wp:posOffset>154305</wp:posOffset>
            </wp:positionV>
            <wp:extent cx="1877060" cy="436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7706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OptimizeRx Launches ‘Digital Healthcare’ Webinar Series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First of Three Session Begins Today at 11:30 a.m. Eastern Time</w:t>
      </w:r>
    </w:p>
    <w:p>
      <w:pPr>
        <w:spacing w:after="0" w:line="221"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color w:val="auto"/>
        </w:rPr>
        <w:t xml:space="preserve">ROCHESTER, Mich. – March 10, 2020 – </w:t>
      </w:r>
      <w:r>
        <w:rPr>
          <w:rFonts w:ascii="Arial" w:cs="Arial" w:eastAsia="Arial" w:hAnsi="Arial"/>
          <w:sz w:val="18"/>
          <w:szCs w:val="18"/>
          <w:color w:val="auto"/>
        </w:rPr>
        <w:t>OptimizeRx Corp. (Nasdaq: OPRX), a leading provider of digital health solutions for life science companies</w:t>
      </w:r>
      <w:r>
        <w:rPr>
          <w:rFonts w:ascii="Arial" w:cs="Arial" w:eastAsia="Arial" w:hAnsi="Arial"/>
          <w:sz w:val="18"/>
          <w:szCs w:val="18"/>
          <w:b w:val="1"/>
          <w:bCs w:val="1"/>
          <w:color w:val="auto"/>
        </w:rPr>
        <w:t xml:space="preserve"> </w:t>
      </w:r>
      <w:r>
        <w:rPr>
          <w:rFonts w:ascii="Arial" w:cs="Arial" w:eastAsia="Arial" w:hAnsi="Arial"/>
          <w:sz w:val="18"/>
          <w:szCs w:val="18"/>
          <w:color w:val="auto"/>
        </w:rPr>
        <w:t>and payers, will host three free webinars this week covering a range of topics around using digital health technology to improve patient care and engagement.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Session 1: </w:t>
      </w:r>
      <w:r>
        <w:rPr>
          <w:rFonts w:ascii="Arial" w:cs="Arial" w:eastAsia="Arial" w:hAnsi="Arial"/>
          <w:sz w:val="18"/>
          <w:szCs w:val="18"/>
          <w:color w:val="auto"/>
        </w:rPr>
        <w:t>“CDC Coronavirus Alerts at the Point-of-Care: The Power of EHR Platform Communications”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This session will focus on OptimizeRx’s latest integration of CDC Coronavirus alerts into its digital health information network.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Tuesday, March 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Time: </w:t>
      </w:r>
      <w:r>
        <w:rPr>
          <w:rFonts w:ascii="Arial" w:cs="Arial" w:eastAsia="Arial" w:hAnsi="Arial"/>
          <w:sz w:val="18"/>
          <w:szCs w:val="18"/>
          <w:color w:val="auto"/>
        </w:rPr>
        <w:t>11:30 am ET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Session 2: </w:t>
      </w:r>
      <w:r>
        <w:rPr>
          <w:rFonts w:ascii="Arial" w:cs="Arial" w:eastAsia="Arial" w:hAnsi="Arial"/>
          <w:sz w:val="18"/>
          <w:szCs w:val="18"/>
          <w:color w:val="auto"/>
        </w:rPr>
        <w:t>“Improving Adherence Via Interactive Messaging”</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This session will focus on the barriers to successful therapy adherence, including treatment affordability, confusing therapy regimens, unexpected side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effects, and more. It will address how to overcome the barriers to successful therapy adherence and engage patients throughout their healthcare journey.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Wednesday, March 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Time: </w:t>
      </w:r>
      <w:r>
        <w:rPr>
          <w:rFonts w:ascii="Arial" w:cs="Arial" w:eastAsia="Arial" w:hAnsi="Arial"/>
          <w:sz w:val="18"/>
          <w:szCs w:val="18"/>
          <w:color w:val="auto"/>
        </w:rPr>
        <w:t>1:30 pm ET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Session 3: “</w:t>
      </w:r>
      <w:r>
        <w:rPr>
          <w:rFonts w:ascii="Arial" w:cs="Arial" w:eastAsia="Arial" w:hAnsi="Arial"/>
          <w:sz w:val="18"/>
          <w:szCs w:val="18"/>
          <w:color w:val="auto"/>
        </w:rPr>
        <w:t>Technology Interoperability Throughout the Care Journey”</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This session will provide a behind-the-scenes view into how six independent and dynamic health technologies help support a 40-year-old patient who has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been diagnosed with colon cancer. It will demonstrate how the patient’s medical team is able to seamlessly exchange valuable clinical data and create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comprehensive care plan for the best overall outcome.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Thursday, March 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Time: </w:t>
      </w:r>
      <w:r>
        <w:rPr>
          <w:rFonts w:ascii="Arial" w:cs="Arial" w:eastAsia="Arial" w:hAnsi="Arial"/>
          <w:sz w:val="18"/>
          <w:szCs w:val="18"/>
          <w:color w:val="auto"/>
        </w:rPr>
        <w:t>11:30 am ET (Time subject to change. Please check webinar website for latest schedule.)</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webinar sessions are free and open to anyone in the industry, and will provide an opportunity to engage directly with OptimizeRx executive team.</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Register today at www.optimizerx.com/webinars.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about OptimizeRx’s webinar sessions, contact media relations at (754) 245-7070 or malejandra@optimizerx.com.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OptimizeRx</w:t>
      </w:r>
    </w:p>
    <w:p>
      <w:pPr>
        <w:spacing w:after="0" w:line="27"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OptimizeRx® (NASDAQ: OPRX), a digital health company, connects pharmaceutical companies to patients and providers, offering greater affordability, adherence and brand awareness at the point-of-care. As the nation’s largest digital platform connecting life sciences to the point-of-care, OptimizeRx provides a direct channel for pharma companies, payers, medtech, and medical associations to communicate with healthcare providers right within their workflow and also directly to patients.</w:t>
      </w:r>
    </w:p>
    <w:p>
      <w:pPr>
        <w:spacing w:after="0" w:line="193"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The cloud-based solution supports patient adherence to medications and better healthcare outcomes with real-time access to financial assistance, prior authorization, education and critical clinical information. OptimizeRx provides more than half of the ambulatory patient market with access to these benefits through leading EHR platforms like Allscripts, Amazing Charts and Quest, and directly via its mobile communications platform and digital therapeutics SaaS platform.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follow the company on Twitter, LinkedIn or visit www.OptimizeRx.com.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as in section 21E of the Securities Act of 1934, as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Maira Alejandra, Media Relations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(754) 245-7070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malejandra@optimizerx.com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Ron Both, CMA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oprx@cma.team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90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2020-03-10T15:38:33Z</dcterms:created>
  <dcterms:modified xsi:type="dcterms:W3CDTF">2020-03-10T15:38:33Z</dcterms:modified>
</cp:coreProperties>
</file>