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1)</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OptimizeRx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par value $0.001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00"/>
        <w:spacing w:after="0"/>
        <w:rPr>
          <w:sz w:val="20"/>
          <w:szCs w:val="20"/>
          <w:color w:val="auto"/>
        </w:rPr>
      </w:pPr>
      <w:r>
        <w:rPr>
          <w:rFonts w:ascii="Arial" w:cs="Arial" w:eastAsia="Arial" w:hAnsi="Arial"/>
          <w:sz w:val="22"/>
          <w:szCs w:val="22"/>
          <w:u w:val="single" w:color="auto"/>
          <w:color w:val="auto"/>
        </w:rPr>
        <w:t>68401U105</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NIRAJ M. PATEL</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WOLVERINE ASSET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175 W. JACKSON BLVD., SUITE 340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CHICAGO, ILLINOIS 60604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(312) 884-4400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ANDREW FREEDMAN,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May 8,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68401U105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WOLVERINE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2,267,462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WOLVERINE HOLDINGS, L.P.</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2,267,462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7.7%</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68401U105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WOLVERINE TRADING PARTNERS, INC.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2,267,462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68401U105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CHRISTOPHER L. GUST</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2,267,462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68401U105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ROBERT R. BELLICK</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2,267,462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2,267,462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68401U105</w:t>
      </w:r>
    </w:p>
    <w:p>
      <w:pPr>
        <w:spacing w:after="0" w:line="10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following constitutes Amendment No. 1 to the Schedule 13D filed by the undersigned (“Amendment No.1”). This Amendment No. 1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Shares purchased for the account of Flagship were purchased with working capital (which may, at any given time, include margin loans made by brokerage firms in the ordinary course of business) in open market purchases, except as otherwise noted herein, and in Schedule A, which is incorporated by reference herein. With respect to the Shares purchased for the account of Flagship, a total of approximately $4,693,646 was paid for the 2,267,462 Shares. The initial 2,083,500 Shares were purchased pursuant to the Issuer’s private placement in March 2014.</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On May 8, 2018, the Reporting Persons delivered a letter to the Issuer’s CEO, William J. Febbo. In the letter, the Reporting Persons expressed their appreciation for the Issuer’s continued engagement with the Reporting Persons as well as the Issuer’s impressive operational performance during the past several quarters. In light of the Issuer’s operational achievements, the Reporting Persons stated their belief that the Issuer is well situated to pursue a strategic sale of the Issuer and urged the management and Board of Directors of the Issuer to immediately explore opportunities for a sale. In the letter, the Reporting Persons set forth considerations and provided analysis in support of a sale, including its potential to significantly increase revenue and its resolution of certain risks associated with the Issuer’s continued operations, such as the lack of operational scale and the lack of stock liquidity. The Reporting Persons also reiterated their strong desire to continue to constructively engage with the Issuer’s management and Board of Directors. A copy of the letter is attached hereto as Exhibit 99.1 and is incorporated herein by reference.</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 – (c) are hereby amended and restated to read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29,636,831 Shares outstanding, as of April 30, 2018, which is the total number of Shares outstanding as reported in the Issuer’s Quarterly Report on Form 10-Q filed with the Securities and Exchange Commission on May 2, 2018.</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WAM</w:t>
      </w:r>
    </w:p>
    <w:p>
      <w:pPr>
        <w:spacing w:after="0" w:line="225" w:lineRule="exact"/>
        <w:rPr>
          <w:rFonts w:ascii="Arial" w:cs="Arial" w:eastAsia="Arial" w:hAnsi="Arial"/>
          <w:sz w:val="18"/>
          <w:szCs w:val="18"/>
          <w:color w:val="auto"/>
        </w:rPr>
      </w:pPr>
    </w:p>
    <w:p>
      <w:pPr>
        <w:ind w:left="1300" w:right="860" w:hanging="644"/>
        <w:spacing w:after="0" w:line="50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WAM, as the investment manager of Flagship, may be deemed the beneficial owner of the 2,267,462 Shares owned by Flagship. Percentage: Approximately 7.7%</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direct vote: 2,267,462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2,267,462</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WAM has not entered into any transactions in the Shares during the past sixty days. The transactions on behalf of Flagship during the past sixty days are set forth in Schedule A and are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68401U105</w:t>
      </w:r>
    </w:p>
    <w:p>
      <w:pPr>
        <w:spacing w:after="0" w:line="10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w:t>
      </w:r>
    </w:p>
    <w:p>
      <w:pPr>
        <w:spacing w:after="0" w:line="225" w:lineRule="exact"/>
        <w:rPr>
          <w:rFonts w:ascii="Arial" w:cs="Arial" w:eastAsia="Arial" w:hAnsi="Arial"/>
          <w:sz w:val="18"/>
          <w:szCs w:val="18"/>
          <w:color w:val="auto"/>
        </w:rPr>
      </w:pPr>
    </w:p>
    <w:p>
      <w:pPr>
        <w:ind w:left="1300" w:right="92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 as the sole member and manager of WAM, may be deemed the beneficial owner of the 2,267,462 Shares owned by WAM. Percentage: Approximately 7.7%</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2,267,462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2,267,462</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 has not entered into any transactions in the Shares during the past sixty days. The transactions in the Shares on behalf of Flagship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WTP</w:t>
      </w:r>
    </w:p>
    <w:p>
      <w:pPr>
        <w:spacing w:after="0" w:line="225" w:lineRule="exact"/>
        <w:rPr>
          <w:rFonts w:ascii="Arial" w:cs="Arial" w:eastAsia="Arial" w:hAnsi="Arial"/>
          <w:sz w:val="18"/>
          <w:szCs w:val="18"/>
          <w:color w:val="auto"/>
        </w:rPr>
      </w:pPr>
    </w:p>
    <w:p>
      <w:pPr>
        <w:ind w:left="1300" w:right="148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WTP, as the sole general partner of WH, may be deemed the beneficial owner of the 2,267,462 Shares owned by WAM. Percentage: Approximately 7.7%</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2,267,462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2,267,462</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WTP has not entered into any transactions in the Shares during the past sixty days. The transactions in the Shares on behalf of Flagship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Gust</w:t>
      </w:r>
    </w:p>
    <w:p>
      <w:pPr>
        <w:spacing w:after="0" w:line="225" w:lineRule="exact"/>
        <w:rPr>
          <w:rFonts w:ascii="Arial" w:cs="Arial" w:eastAsia="Arial" w:hAnsi="Arial"/>
          <w:sz w:val="18"/>
          <w:szCs w:val="18"/>
          <w:color w:val="auto"/>
        </w:rPr>
      </w:pPr>
    </w:p>
    <w:p>
      <w:pPr>
        <w:ind w:left="1300" w:right="122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Gust, a controlling shareholder of WTP, may be deemed the beneficial owner of the 2,267,462 Shares owned by WAM. Percentage: Approximately 7.7%</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2,267,462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2,267,462</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Gust has not entered into any transactions in the Shares during the past sixty days. The transactions in the Shares on behalf of Flagship during the past sixty days are set forth in Schedule A and are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68401U105</w:t>
      </w:r>
    </w:p>
    <w:p>
      <w:pPr>
        <w:spacing w:after="0" w:line="10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Bellick</w:t>
      </w:r>
    </w:p>
    <w:p>
      <w:pPr>
        <w:spacing w:after="0" w:line="225" w:lineRule="exact"/>
        <w:rPr>
          <w:rFonts w:ascii="Arial" w:cs="Arial" w:eastAsia="Arial" w:hAnsi="Arial"/>
          <w:sz w:val="18"/>
          <w:szCs w:val="18"/>
          <w:color w:val="auto"/>
        </w:rPr>
      </w:pPr>
    </w:p>
    <w:p>
      <w:pPr>
        <w:ind w:left="1300" w:right="1040" w:hanging="644"/>
        <w:spacing w:after="0" w:line="50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Bellick, a controlling shareholder of WTP, may be deemed the beneficial owner of the 2,267,462 Shares owned by WAM. Percentage: Approximately 7.7%</w:t>
      </w: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2,267,462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2,267,462</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Bellick has not entered into any transactions in the Shares during the past sixty days. The transactions in the Shares on behalf of Flagship during the past sixty days are set forth in Schedule A and are incorporated herein by reference.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Reporting Person, as a member of a “group” with the other Reporting Persons for the purposes of Section 13(d)(3) of the Securities Exchange Act of 1934, as amended, may be deemed the beneficial owner of the Shares directly owned by the other Reporting Persons. Each Reporting Person disclaims beneficial ownership of such Shares except to the extent of his or its pecuniary interest therein.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Letter to the CEO, dated May 8, 2018.</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68401U105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WOLVERINE ASSET MANAGEMENT, LLC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Niraj M. Patel</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Niraj M. Patel</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Chief Legal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WOLVERINE HOLDINGS,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Christopher L. Gust</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WOLVERINE TRADING PARTNERS, INC.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Christopher L. Gust</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24"/>
        </w:trPr>
        <w:tc>
          <w:tcPr>
            <w:tcW w:w="7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rPr>
                <w:sz w:val="20"/>
                <w:szCs w:val="20"/>
                <w:color w:val="auto"/>
              </w:rPr>
            </w:pPr>
            <w:r>
              <w:rPr>
                <w:rFonts w:ascii="Arial" w:cs="Arial" w:eastAsia="Arial" w:hAnsi="Arial"/>
                <w:sz w:val="18"/>
                <w:szCs w:val="18"/>
                <w:color w:val="auto"/>
              </w:rPr>
              <w:t>Christopher L. Gust</w:t>
            </w:r>
          </w:p>
        </w:tc>
      </w:tr>
      <w:tr>
        <w:trPr>
          <w:trHeight w:val="63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R. Bellick</w:t>
            </w:r>
          </w:p>
        </w:tc>
      </w:tr>
      <w:tr>
        <w:trPr>
          <w:trHeight w:val="224"/>
        </w:trPr>
        <w:tc>
          <w:tcPr>
            <w:tcW w:w="7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rPr>
                <w:sz w:val="20"/>
                <w:szCs w:val="20"/>
                <w:color w:val="auto"/>
              </w:rPr>
            </w:pPr>
            <w:r>
              <w:rPr>
                <w:rFonts w:ascii="Arial" w:cs="Arial" w:eastAsia="Arial" w:hAnsi="Arial"/>
                <w:sz w:val="18"/>
                <w:szCs w:val="18"/>
                <w:color w:val="auto"/>
              </w:rPr>
              <w:t>Robert R. Bellick</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68401U105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21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89"/>
              </w:rPr>
              <w:t>Transactions in the Shares During the Past Sixty Days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rPr>
              <w:t>WOLVERINE FLAGSHIP FUND TRADING LIMITED</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8"/>
        </w:trPr>
        <w:tc>
          <w:tcPr>
            <w:tcW w:w="1280" w:type="dxa"/>
            <w:vAlign w:val="bottom"/>
          </w:tcPr>
          <w:p>
            <w:pPr>
              <w:spacing w:after="0"/>
              <w:rPr>
                <w:sz w:val="24"/>
                <w:szCs w:val="24"/>
                <w:color w:val="auto"/>
              </w:rPr>
            </w:pPr>
          </w:p>
        </w:tc>
        <w:tc>
          <w:tcPr>
            <w:tcW w:w="2240" w:type="dxa"/>
            <w:vAlign w:val="bottom"/>
            <w:gridSpan w:val="2"/>
          </w:tcPr>
          <w:p>
            <w:pPr>
              <w:jc w:val="center"/>
              <w:ind w:right="1000"/>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gridSpan w:val="5"/>
          </w:tcPr>
          <w:p>
            <w:pPr>
              <w:jc w:val="center"/>
              <w:ind w:right="1620"/>
              <w:spacing w:after="0"/>
              <w:rPr>
                <w:sz w:val="20"/>
                <w:szCs w:val="20"/>
                <w:color w:val="auto"/>
              </w:rPr>
            </w:pPr>
            <w:r>
              <w:rPr>
                <w:rFonts w:ascii="Arial" w:cs="Arial" w:eastAsia="Arial" w:hAnsi="Arial"/>
                <w:sz w:val="18"/>
                <w:szCs w:val="18"/>
                <w:color w:val="auto"/>
                <w:w w:val="89"/>
              </w:rPr>
              <w:t>Price Per</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gridSpan w:val="2"/>
          </w:tcPr>
          <w:p>
            <w:pPr>
              <w:jc w:val="center"/>
              <w:ind w:right="1360"/>
              <w:spacing w:after="0"/>
              <w:rPr>
                <w:sz w:val="20"/>
                <w:szCs w:val="20"/>
                <w:color w:val="auto"/>
              </w:rPr>
            </w:pPr>
            <w:r>
              <w:rPr>
                <w:rFonts w:ascii="Arial" w:cs="Arial" w:eastAsia="Arial" w:hAnsi="Arial"/>
                <w:sz w:val="18"/>
                <w:szCs w:val="18"/>
                <w:color w:val="auto"/>
                <w:w w:val="92"/>
              </w:rPr>
              <w:t>Date of</w:t>
            </w:r>
          </w:p>
        </w:tc>
      </w:tr>
      <w:tr>
        <w:trPr>
          <w:trHeight w:val="190"/>
        </w:trPr>
        <w:tc>
          <w:tcPr>
            <w:tcW w:w="1280" w:type="dxa"/>
            <w:vAlign w:val="bottom"/>
          </w:tcPr>
          <w:p>
            <w:pPr>
              <w:spacing w:after="0"/>
              <w:rPr>
                <w:sz w:val="16"/>
                <w:szCs w:val="16"/>
                <w:color w:val="auto"/>
              </w:rPr>
            </w:pPr>
          </w:p>
        </w:tc>
        <w:tc>
          <w:tcPr>
            <w:tcW w:w="2240" w:type="dxa"/>
            <w:vAlign w:val="bottom"/>
            <w:gridSpan w:val="2"/>
          </w:tcPr>
          <w:p>
            <w:pPr>
              <w:jc w:val="center"/>
              <w:ind w:right="1000"/>
              <w:spacing w:after="0" w:line="190" w:lineRule="exact"/>
              <w:rPr>
                <w:sz w:val="20"/>
                <w:szCs w:val="20"/>
                <w:color w:val="auto"/>
              </w:rPr>
            </w:pPr>
            <w:r>
              <w:rPr>
                <w:rFonts w:ascii="Arial" w:cs="Arial" w:eastAsia="Arial" w:hAnsi="Arial"/>
                <w:sz w:val="18"/>
                <w:szCs w:val="18"/>
                <w:color w:val="auto"/>
                <w:w w:val="89"/>
              </w:rPr>
              <w:t>Purchased/(Sold)</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300" w:type="dxa"/>
            <w:vAlign w:val="bottom"/>
            <w:gridSpan w:val="6"/>
          </w:tcPr>
          <w:p>
            <w:pPr>
              <w:jc w:val="center"/>
              <w:ind w:right="2160"/>
              <w:spacing w:after="0" w:line="190" w:lineRule="exact"/>
              <w:rPr>
                <w:sz w:val="20"/>
                <w:szCs w:val="20"/>
                <w:color w:val="auto"/>
              </w:rPr>
            </w:pPr>
            <w:r>
              <w:rPr>
                <w:rFonts w:ascii="Arial" w:cs="Arial" w:eastAsia="Arial" w:hAnsi="Arial"/>
                <w:sz w:val="18"/>
                <w:szCs w:val="18"/>
                <w:u w:val="single" w:color="auto"/>
                <w:color w:val="auto"/>
                <w:w w:val="88"/>
              </w:rPr>
              <w:t>Share($</w:t>
            </w:r>
            <w:r>
              <w:rPr>
                <w:rFonts w:ascii="Arial" w:cs="Arial" w:eastAsia="Arial" w:hAnsi="Arial"/>
                <w:sz w:val="18"/>
                <w:szCs w:val="18"/>
                <w:color w:val="auto"/>
                <w:w w:val="88"/>
              </w:rPr>
              <w:t>)</w:t>
            </w:r>
          </w:p>
        </w:tc>
        <w:tc>
          <w:tcPr>
            <w:tcW w:w="2980" w:type="dxa"/>
            <w:vAlign w:val="bottom"/>
            <w:gridSpan w:val="3"/>
          </w:tcPr>
          <w:p>
            <w:pPr>
              <w:jc w:val="center"/>
              <w:ind w:right="840"/>
              <w:spacing w:after="0" w:line="190" w:lineRule="exact"/>
              <w:rPr>
                <w:sz w:val="20"/>
                <w:szCs w:val="20"/>
                <w:color w:val="auto"/>
              </w:rPr>
            </w:pPr>
            <w:r>
              <w:rPr>
                <w:rFonts w:ascii="Arial" w:cs="Arial" w:eastAsia="Arial" w:hAnsi="Arial"/>
                <w:sz w:val="18"/>
                <w:szCs w:val="18"/>
                <w:color w:val="auto"/>
                <w:w w:val="86"/>
              </w:rPr>
              <w:t>Purchase / Sale</w:t>
            </w:r>
          </w:p>
        </w:tc>
      </w:tr>
      <w:tr>
        <w:trPr>
          <w:trHeight w:val="21"/>
        </w:trPr>
        <w:tc>
          <w:tcPr>
            <w:tcW w:w="12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2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18,000</w:t>
            </w:r>
          </w:p>
        </w:tc>
        <w:tc>
          <w:tcPr>
            <w:tcW w:w="100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center"/>
              <w:ind w:left="1790"/>
              <w:spacing w:after="0"/>
              <w:rPr>
                <w:sz w:val="20"/>
                <w:szCs w:val="20"/>
                <w:color w:val="auto"/>
              </w:rPr>
            </w:pPr>
            <w:r>
              <w:rPr>
                <w:rFonts w:ascii="Arial" w:cs="Arial" w:eastAsia="Arial" w:hAnsi="Arial"/>
                <w:sz w:val="18"/>
                <w:szCs w:val="18"/>
                <w:color w:val="auto"/>
                <w:w w:val="90"/>
              </w:rPr>
              <w:t>1.4500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03/16/2018</w:t>
            </w:r>
          </w:p>
        </w:tc>
        <w:tc>
          <w:tcPr>
            <w:tcW w:w="1360" w:type="dxa"/>
            <w:vAlign w:val="bottom"/>
            <w:shd w:val="clear" w:color="auto" w:fill="CCEEFF"/>
          </w:tcPr>
          <w:p>
            <w:pPr>
              <w:spacing w:after="0"/>
              <w:rPr>
                <w:sz w:val="18"/>
                <w:szCs w:val="18"/>
                <w:color w:val="auto"/>
              </w:rPr>
            </w:pPr>
          </w:p>
        </w:tc>
      </w:tr>
      <w:tr>
        <w:trPr>
          <w:trHeight w:val="230"/>
        </w:trPr>
        <w:tc>
          <w:tcPr>
            <w:tcW w:w="2520" w:type="dxa"/>
            <w:vAlign w:val="bottom"/>
            <w:gridSpan w:val="2"/>
          </w:tcPr>
          <w:p>
            <w:pPr>
              <w:jc w:val="right"/>
              <w:ind w:right="330"/>
              <w:spacing w:after="0"/>
              <w:rPr>
                <w:sz w:val="20"/>
                <w:szCs w:val="20"/>
                <w:color w:val="auto"/>
              </w:rPr>
            </w:pPr>
            <w:r>
              <w:rPr>
                <w:rFonts w:ascii="Arial" w:cs="Arial" w:eastAsia="Arial" w:hAnsi="Arial"/>
                <w:sz w:val="18"/>
                <w:szCs w:val="18"/>
                <w:color w:val="auto"/>
              </w:rPr>
              <w:t>1,500</w:t>
            </w:r>
          </w:p>
        </w:tc>
        <w:tc>
          <w:tcPr>
            <w:tcW w:w="1000" w:type="dxa"/>
            <w:vAlign w:val="bottom"/>
          </w:tcPr>
          <w:p>
            <w:pPr>
              <w:spacing w:after="0"/>
              <w:rPr>
                <w:sz w:val="20"/>
                <w:szCs w:val="20"/>
                <w:color w:val="auto"/>
              </w:rPr>
            </w:pPr>
          </w:p>
        </w:tc>
        <w:tc>
          <w:tcPr>
            <w:tcW w:w="2500" w:type="dxa"/>
            <w:vAlign w:val="bottom"/>
            <w:gridSpan w:val="4"/>
          </w:tcPr>
          <w:p>
            <w:pPr>
              <w:jc w:val="center"/>
              <w:ind w:left="1790"/>
              <w:spacing w:after="0"/>
              <w:rPr>
                <w:sz w:val="20"/>
                <w:szCs w:val="20"/>
                <w:color w:val="auto"/>
              </w:rPr>
            </w:pPr>
            <w:r>
              <w:rPr>
                <w:rFonts w:ascii="Arial" w:cs="Arial" w:eastAsia="Arial" w:hAnsi="Arial"/>
                <w:sz w:val="18"/>
                <w:szCs w:val="18"/>
                <w:color w:val="auto"/>
                <w:w w:val="90"/>
              </w:rPr>
              <w:t>1.9833</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05/02/2018</w:t>
            </w:r>
          </w:p>
        </w:tc>
        <w:tc>
          <w:tcPr>
            <w:tcW w:w="13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14"/>
    </w:lvl>
  </w:abstractNum>
  <w:abstractNum w:abstractNumId="3">
    <w:nsid w:val="46E87CC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4">
    <w:nsid w:val="3D1B58BA"/>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5">
    <w:nsid w:val="507ED7AB"/>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2019-12-16T09:15:45Z</dcterms:created>
  <dcterms:modified xsi:type="dcterms:W3CDTF">2019-12-16T09:15:45Z</dcterms:modified>
</cp:coreProperties>
</file>