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40" w:type="dxa"/>
            <w:vAlign w:val="bottom"/>
            <w:gridSpan w:val="5"/>
          </w:tcPr>
          <w:p>
            <w:pPr>
              <w:jc w:val="center"/>
              <w:ind w:right="1840"/>
              <w:spacing w:after="0"/>
              <w:rPr>
                <w:sz w:val="20"/>
                <w:szCs w:val="20"/>
                <w:color w:val="auto"/>
              </w:rPr>
            </w:pPr>
            <w:r>
              <w:rPr>
                <w:rFonts w:ascii="Arial" w:cs="Arial" w:eastAsia="Arial" w:hAnsi="Arial"/>
                <w:sz w:val="18"/>
                <w:szCs w:val="18"/>
                <w:b w:val="1"/>
                <w:bCs w:val="1"/>
                <w:color w:val="auto"/>
              </w:rPr>
              <w:t>FORM 8-K</w:t>
            </w:r>
          </w:p>
        </w:tc>
        <w:tc>
          <w:tcPr>
            <w:tcW w:w="2960" w:type="dxa"/>
            <w:vAlign w:val="bottom"/>
          </w:tcPr>
          <w:p>
            <w:pPr>
              <w:spacing w:after="0"/>
              <w:rPr>
                <w:sz w:val="20"/>
                <w:szCs w:val="20"/>
                <w:color w:val="auto"/>
              </w:rPr>
            </w:pPr>
          </w:p>
        </w:tc>
      </w:tr>
      <w:tr>
        <w:trPr>
          <w:trHeight w:val="414"/>
        </w:trPr>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40" w:type="dxa"/>
            <w:vAlign w:val="bottom"/>
            <w:gridSpan w:val="5"/>
          </w:tcPr>
          <w:p>
            <w:pPr>
              <w:jc w:val="center"/>
              <w:ind w:right="1840"/>
              <w:spacing w:after="0"/>
              <w:rPr>
                <w:sz w:val="20"/>
                <w:szCs w:val="20"/>
                <w:color w:val="auto"/>
              </w:rPr>
            </w:pPr>
            <w:r>
              <w:rPr>
                <w:rFonts w:ascii="Arial" w:cs="Arial" w:eastAsia="Arial" w:hAnsi="Arial"/>
                <w:sz w:val="18"/>
                <w:szCs w:val="18"/>
                <w:b w:val="1"/>
                <w:bCs w:val="1"/>
                <w:color w:val="auto"/>
                <w:w w:val="99"/>
              </w:rPr>
              <w:t>CURRENT REPORT</w:t>
            </w:r>
          </w:p>
        </w:tc>
        <w:tc>
          <w:tcPr>
            <w:tcW w:w="296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60" w:type="dxa"/>
            <w:vAlign w:val="bottom"/>
            <w:gridSpan w:val="6"/>
          </w:tcPr>
          <w:p>
            <w:pPr>
              <w:jc w:val="center"/>
              <w:ind w:right="940"/>
              <w:spacing w:after="0"/>
              <w:rPr>
                <w:sz w:val="20"/>
                <w:szCs w:val="20"/>
                <w:color w:val="auto"/>
              </w:rPr>
            </w:pPr>
            <w:r>
              <w:rPr>
                <w:rFonts w:ascii="Arial" w:cs="Arial" w:eastAsia="Arial" w:hAnsi="Arial"/>
                <w:sz w:val="18"/>
                <w:szCs w:val="18"/>
                <w:b w:val="1"/>
                <w:bCs w:val="1"/>
                <w:color w:val="auto"/>
                <w:w w:val="97"/>
              </w:rPr>
              <w:t>PURSUANT TO SECTION 13 OR 15(d) OF</w:t>
            </w:r>
          </w:p>
        </w:tc>
        <w:tc>
          <w:tcPr>
            <w:tcW w:w="296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0" w:type="dxa"/>
            <w:vAlign w:val="bottom"/>
            <w:gridSpan w:val="7"/>
          </w:tcPr>
          <w:p>
            <w:pPr>
              <w:jc w:val="center"/>
              <w:ind w:right="68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2960" w:type="dxa"/>
            <w:vAlign w:val="bottom"/>
          </w:tcPr>
          <w:p>
            <w:pPr>
              <w:spacing w:after="0"/>
              <w:rPr>
                <w:sz w:val="20"/>
                <w:szCs w:val="20"/>
                <w:color w:val="auto"/>
              </w:rPr>
            </w:pPr>
          </w:p>
        </w:tc>
      </w:tr>
      <w:tr>
        <w:trPr>
          <w:trHeight w:val="432"/>
        </w:trPr>
        <w:tc>
          <w:tcPr>
            <w:tcW w:w="3100" w:type="dxa"/>
            <w:vAlign w:val="bottom"/>
          </w:tcPr>
          <w:p>
            <w:pPr>
              <w:spacing w:after="0"/>
              <w:rPr>
                <w:sz w:val="24"/>
                <w:szCs w:val="24"/>
                <w:color w:val="auto"/>
              </w:rPr>
            </w:pPr>
          </w:p>
        </w:tc>
        <w:tc>
          <w:tcPr>
            <w:tcW w:w="5360" w:type="dxa"/>
            <w:vAlign w:val="bottom"/>
            <w:gridSpan w:val="8"/>
          </w:tcPr>
          <w:p>
            <w:pPr>
              <w:jc w:val="center"/>
              <w:ind w:right="120"/>
              <w:spacing w:after="0"/>
              <w:rPr>
                <w:sz w:val="20"/>
                <w:szCs w:val="20"/>
                <w:color w:val="auto"/>
              </w:rPr>
            </w:pPr>
            <w:r>
              <w:rPr>
                <w:rFonts w:ascii="Arial" w:cs="Arial" w:eastAsia="Arial" w:hAnsi="Arial"/>
                <w:sz w:val="18"/>
                <w:szCs w:val="18"/>
                <w:color w:val="auto"/>
                <w:w w:val="91"/>
              </w:rPr>
              <w:t>Date of Report (Date of earliest event reported): April 19, 2017</w:t>
            </w:r>
          </w:p>
        </w:tc>
        <w:tc>
          <w:tcPr>
            <w:tcW w:w="2960" w:type="dxa"/>
            <w:vAlign w:val="bottom"/>
          </w:tcPr>
          <w:p>
            <w:pPr>
              <w:spacing w:after="0"/>
              <w:rPr>
                <w:sz w:val="24"/>
                <w:szCs w:val="24"/>
                <w:color w:val="auto"/>
              </w:rPr>
            </w:pPr>
          </w:p>
        </w:tc>
      </w:tr>
      <w:tr>
        <w:trPr>
          <w:trHeight w:val="392"/>
        </w:trPr>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OptimizeRx Corporation</w:t>
            </w:r>
          </w:p>
        </w:tc>
        <w:tc>
          <w:tcPr>
            <w:tcW w:w="1840" w:type="dxa"/>
            <w:vAlign w:val="bottom"/>
            <w:gridSpan w:val="4"/>
          </w:tcPr>
          <w:p>
            <w:pPr>
              <w:spacing w:after="0"/>
              <w:rPr>
                <w:sz w:val="24"/>
                <w:szCs w:val="24"/>
                <w:color w:val="auto"/>
              </w:rPr>
            </w:pPr>
          </w:p>
        </w:tc>
        <w:tc>
          <w:tcPr>
            <w:tcW w:w="2960" w:type="dxa"/>
            <w:vAlign w:val="bottom"/>
          </w:tcPr>
          <w:p>
            <w:pPr>
              <w:spacing w:after="0"/>
              <w:rPr>
                <w:sz w:val="24"/>
                <w:szCs w:val="24"/>
                <w:color w:val="auto"/>
              </w:rPr>
            </w:pPr>
          </w:p>
        </w:tc>
      </w:tr>
      <w:tr>
        <w:trPr>
          <w:trHeight w:val="237"/>
        </w:trPr>
        <w:tc>
          <w:tcPr>
            <w:tcW w:w="3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0" w:type="dxa"/>
            <w:vAlign w:val="bottom"/>
            <w:gridSpan w:val="7"/>
          </w:tcPr>
          <w:p>
            <w:pPr>
              <w:jc w:val="center"/>
              <w:ind w:right="680"/>
              <w:spacing w:after="0"/>
              <w:rPr>
                <w:sz w:val="20"/>
                <w:szCs w:val="20"/>
                <w:color w:val="auto"/>
              </w:rPr>
            </w:pPr>
            <w:r>
              <w:rPr>
                <w:rFonts w:ascii="Arial" w:cs="Arial" w:eastAsia="Arial" w:hAnsi="Arial"/>
                <w:sz w:val="18"/>
                <w:szCs w:val="18"/>
                <w:color w:val="auto"/>
                <w:w w:val="90"/>
              </w:rPr>
              <w:t>(Exact name of registrant as specified in its charter)</w:t>
            </w:r>
          </w:p>
        </w:tc>
        <w:tc>
          <w:tcPr>
            <w:tcW w:w="2960" w:type="dxa"/>
            <w:vAlign w:val="bottom"/>
          </w:tcPr>
          <w:p>
            <w:pPr>
              <w:spacing w:after="0"/>
              <w:rPr>
                <w:sz w:val="20"/>
                <w:szCs w:val="20"/>
                <w:color w:val="auto"/>
              </w:rPr>
            </w:pPr>
          </w:p>
        </w:tc>
      </w:tr>
      <w:tr>
        <w:trPr>
          <w:trHeight w:val="453"/>
        </w:trPr>
        <w:tc>
          <w:tcPr>
            <w:tcW w:w="3100" w:type="dxa"/>
            <w:vAlign w:val="bottom"/>
          </w:tcPr>
          <w:p>
            <w:pPr>
              <w:jc w:val="center"/>
              <w:ind w:left="490"/>
              <w:spacing w:after="0"/>
              <w:rPr>
                <w:sz w:val="20"/>
                <w:szCs w:val="20"/>
                <w:color w:val="auto"/>
              </w:rPr>
            </w:pPr>
            <w:r>
              <w:rPr>
                <w:rFonts w:ascii="Arial" w:cs="Arial" w:eastAsia="Arial" w:hAnsi="Arial"/>
                <w:sz w:val="18"/>
                <w:szCs w:val="18"/>
                <w:color w:val="auto"/>
                <w:w w:val="90"/>
              </w:rPr>
              <w:t>Nevada</w:t>
            </w:r>
          </w:p>
        </w:tc>
        <w:tc>
          <w:tcPr>
            <w:tcW w:w="3520" w:type="dxa"/>
            <w:vAlign w:val="bottom"/>
            <w:gridSpan w:val="4"/>
          </w:tcPr>
          <w:p>
            <w:pPr>
              <w:jc w:val="center"/>
              <w:ind w:left="1650"/>
              <w:spacing w:after="0"/>
              <w:rPr>
                <w:sz w:val="20"/>
                <w:szCs w:val="20"/>
                <w:color w:val="auto"/>
              </w:rPr>
            </w:pPr>
            <w:r>
              <w:rPr>
                <w:rFonts w:ascii="Arial" w:cs="Arial" w:eastAsia="Arial" w:hAnsi="Arial"/>
                <w:sz w:val="18"/>
                <w:szCs w:val="18"/>
                <w:color w:val="auto"/>
                <w:w w:val="90"/>
              </w:rPr>
              <w:t>000-53605</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6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02"/>
        </w:trPr>
        <w:tc>
          <w:tcPr>
            <w:tcW w:w="3100" w:type="dxa"/>
            <w:vAlign w:val="bottom"/>
            <w:tcBorders>
              <w:top w:val="single" w:sz="8" w:color="auto"/>
            </w:tcBorders>
          </w:tcPr>
          <w:p>
            <w:pPr>
              <w:jc w:val="center"/>
              <w:ind w:left="430"/>
              <w:spacing w:after="0" w:line="201" w:lineRule="exact"/>
              <w:rPr>
                <w:sz w:val="20"/>
                <w:szCs w:val="20"/>
                <w:color w:val="auto"/>
              </w:rPr>
            </w:pPr>
            <w:r>
              <w:rPr>
                <w:rFonts w:ascii="Arial" w:cs="Arial" w:eastAsia="Arial" w:hAnsi="Arial"/>
                <w:sz w:val="18"/>
                <w:szCs w:val="18"/>
                <w:color w:val="auto"/>
                <w:w w:val="92"/>
              </w:rPr>
              <w:t>(State or other jurisdiction</w:t>
            </w: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4"/>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tcPr>
          <w:p>
            <w:pPr>
              <w:jc w:val="center"/>
              <w:ind w:right="6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100" w:type="dxa"/>
            <w:vAlign w:val="bottom"/>
          </w:tcPr>
          <w:p>
            <w:pPr>
              <w:jc w:val="center"/>
              <w:ind w:left="490"/>
              <w:spacing w:after="0"/>
              <w:rPr>
                <w:sz w:val="20"/>
                <w:szCs w:val="20"/>
                <w:color w:val="auto"/>
              </w:rPr>
            </w:pPr>
            <w:r>
              <w:rPr>
                <w:rFonts w:ascii="Arial" w:cs="Arial" w:eastAsia="Arial" w:hAnsi="Arial"/>
                <w:sz w:val="18"/>
                <w:szCs w:val="18"/>
                <w:color w:val="auto"/>
                <w:w w:val="95"/>
              </w:rPr>
              <w:t>of incorporation)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60" w:type="dxa"/>
            <w:vAlign w:val="bottom"/>
          </w:tcPr>
          <w:p>
            <w:pPr>
              <w:jc w:val="center"/>
              <w:ind w:right="61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460" w:type="dxa"/>
            <w:vAlign w:val="bottom"/>
            <w:gridSpan w:val="9"/>
          </w:tcPr>
          <w:p>
            <w:pPr>
              <w:jc w:val="center"/>
              <w:ind w:right="920"/>
              <w:spacing w:after="0"/>
              <w:rPr>
                <w:sz w:val="20"/>
                <w:szCs w:val="20"/>
                <w:color w:val="auto"/>
              </w:rPr>
            </w:pPr>
            <w:r>
              <w:rPr>
                <w:rFonts w:ascii="Arial" w:cs="Arial" w:eastAsia="Arial" w:hAnsi="Arial"/>
                <w:sz w:val="18"/>
                <w:szCs w:val="18"/>
                <w:color w:val="auto"/>
                <w:w w:val="90"/>
              </w:rPr>
              <w:t>400 Water Street, Suite 200, Rochester, MI</w:t>
            </w:r>
          </w:p>
        </w:tc>
        <w:tc>
          <w:tcPr>
            <w:tcW w:w="2960" w:type="dxa"/>
            <w:vAlign w:val="bottom"/>
          </w:tcPr>
          <w:p>
            <w:pPr>
              <w:jc w:val="right"/>
              <w:ind w:right="151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6"/>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gridSpan w:val="2"/>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960" w:type="dxa"/>
            <w:vAlign w:val="bottom"/>
            <w:tcBorders>
              <w:top w:val="single" w:sz="8" w:color="auto"/>
            </w:tcBorders>
          </w:tcPr>
          <w:p>
            <w:pPr>
              <w:jc w:val="center"/>
              <w:ind w:right="5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289560</wp:posOffset>
            </wp:positionV>
            <wp:extent cx="32670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April 19, 2017, we issued a press release announcing the details of our earnings conference call, to be held on Wednesday, May 3, 2017 at 4:30 p.m. ET.</w:t>
      </w:r>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April 19, 2017</w:t>
        </w:r>
      </w:hyperlink>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19, 2017</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154940</wp:posOffset>
            </wp:positionV>
            <wp:extent cx="2984500" cy="746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8450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 Sets First Quarter 2017 Conference Call for Wednesday, May 3, 2017 at 4:30 p.m. ET</w:t>
      </w:r>
    </w:p>
    <w:p>
      <w:pPr>
        <w:spacing w:after="0" w:line="22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Rochester, MI (April 19, 2017) </w:t>
      </w:r>
      <w:r>
        <w:rPr>
          <w:rFonts w:ascii="Arial" w:cs="Arial" w:eastAsia="Arial" w:hAnsi="Arial"/>
          <w:sz w:val="18"/>
          <w:szCs w:val="18"/>
          <w:color w:val="auto"/>
        </w:rPr>
        <w:t>OptimizeRx Corp. (OTCQB: OPRX), the leading aggregator of pharmaceutical-sponsored services in electronic health</w:t>
      </w:r>
      <w:r>
        <w:rPr>
          <w:rFonts w:ascii="Arial" w:cs="Arial" w:eastAsia="Arial" w:hAnsi="Arial"/>
          <w:sz w:val="18"/>
          <w:szCs w:val="18"/>
          <w:b w:val="1"/>
          <w:bCs w:val="1"/>
          <w:color w:val="auto"/>
        </w:rPr>
        <w:t xml:space="preserve"> </w:t>
      </w:r>
      <w:r>
        <w:rPr>
          <w:rFonts w:ascii="Arial" w:cs="Arial" w:eastAsia="Arial" w:hAnsi="Arial"/>
          <w:sz w:val="18"/>
          <w:szCs w:val="18"/>
          <w:color w:val="auto"/>
        </w:rPr>
        <w:t>record (EHR) platforms, will hold a conference call on Wednesday, May 3, 2017 at 4:30 p.m. Eastern time to discuss results for the first quarter ended March 31, 2017. The financial results will be issued in a press release prior to the call.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presentation,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Wednesday, May 3,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1-888-280-4443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1-719-325-2170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2887343</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May 24, 2017, as well as available for replay via the Investors section of the OptimizeRx website at www.optimizerxcorp.com.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2887343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 Corp</w:t>
      </w:r>
    </w:p>
    <w:p>
      <w:pPr>
        <w:spacing w:after="0" w:line="27"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Based in Rochester, Michigan, OptimizeRx Corporation is a health technology software company that is revolutionizing the point of care experience through technology to improve clinical decisions and outcomes. OptimizeRx’s unique consumer and physician platforms help patients better afford and comply with their medicines and healthcare products, while offering pharmaceutical and healthcare companies effective ways to expand awareness, access and adherence to their medications.</w:t>
      </w:r>
    </w:p>
    <w:p>
      <w:pPr>
        <w:spacing w:after="0" w:line="1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OptimizeRx core product replaces drug samples with electronic trial vouchers and copay coupon savings that are electronically added to an e-Prescription and sent electronically to the pharmacy and is integrated within leading electronic health record (EHR) platforms in the country, including Allscripts, DrFirst, NewCrop, Quest Diagnostics, Practice Fusion and other EHRs to reach over 500,000 healthcare providers. In turn, OptimizeRx promotes patient savings and support from the world’s largest pharmaceutical companies, including Pfizer, Lilly, Novartis, AstraZeneca, and many others. For more information, visit www.optimizerx.com.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2019-12-29T07:26:49Z</dcterms:created>
  <dcterms:modified xsi:type="dcterms:W3CDTF">2019-12-29T07:26:49Z</dcterms:modified>
</cp:coreProperties>
</file>