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3980" w:right="2320" w:hanging="1652"/>
        <w:spacing w:after="0" w:line="477" w:lineRule="auto"/>
        <w:tabs>
          <w:tab w:leader="none" w:pos="25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June 30, 2024</w:t>
      </w:r>
    </w:p>
    <w:p>
      <w:pPr>
        <w:spacing w:after="0" w:line="41" w:lineRule="exact"/>
        <w:rPr>
          <w:rFonts w:ascii="MS PGothic" w:cs="MS PGothic" w:eastAsia="MS PGothic" w:hAnsi="MS PGothic"/>
          <w:sz w:val="18"/>
          <w:szCs w:val="18"/>
          <w:color w:val="auto"/>
        </w:rPr>
      </w:pPr>
    </w:p>
    <w:p>
      <w:pPr>
        <w:ind w:left="3520" w:right="2580" w:hanging="922"/>
        <w:spacing w:after="0" w:line="498" w:lineRule="auto"/>
        <w:tabs>
          <w:tab w:leader="none" w:pos="280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13 or 15(d) of the Securities Exchange Act of 1934 For the transition period from __________ to __________</w:t>
      </w:r>
    </w:p>
    <w:tbl>
      <w:tblPr>
        <w:tblLayout w:type="fixed"/>
        <w:tblInd w:w="0" w:type="dxa"/>
        <w:tblCellMar>
          <w:top w:w="0" w:type="dxa"/>
          <w:left w:w="0" w:type="dxa"/>
          <w:bottom w:w="0" w:type="dxa"/>
          <w:right w:w="0" w:type="dxa"/>
        </w:tblCellMar>
      </w:tblPr>
      <w:tr>
        <w:trPr>
          <w:trHeight w:val="199"/>
        </w:trPr>
        <w:tc>
          <w:tcPr>
            <w:tcW w:w="7680" w:type="dxa"/>
            <w:vAlign w:val="bottom"/>
            <w:gridSpan w:val="13"/>
          </w:tcPr>
          <w:p>
            <w:pPr>
              <w:jc w:val="center"/>
              <w:ind w:left="3490"/>
              <w:spacing w:after="0" w:line="199" w:lineRule="exact"/>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001-38543</w:t>
            </w:r>
          </w:p>
        </w:tc>
        <w:tc>
          <w:tcPr>
            <w:tcW w:w="356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1080" w:type="dxa"/>
            <w:vAlign w:val="bottom"/>
            <w:gridSpan w:val="2"/>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60" w:type="dxa"/>
            <w:vAlign w:val="bottom"/>
          </w:tcPr>
          <w:p>
            <w:pPr>
              <w:spacing w:after="0"/>
              <w:rPr>
                <w:sz w:val="20"/>
                <w:szCs w:val="20"/>
                <w:color w:val="auto"/>
              </w:rPr>
            </w:pPr>
          </w:p>
        </w:tc>
      </w:tr>
      <w:tr>
        <w:trPr>
          <w:trHeight w:val="453"/>
        </w:trPr>
        <w:tc>
          <w:tcPr>
            <w:tcW w:w="7680" w:type="dxa"/>
            <w:vAlign w:val="bottom"/>
            <w:gridSpan w:val="1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198"/>
        </w:trPr>
        <w:tc>
          <w:tcPr>
            <w:tcW w:w="5520" w:type="dxa"/>
            <w:vAlign w:val="bottom"/>
            <w:tcBorders>
              <w:top w:val="single" w:sz="8" w:color="auto"/>
            </w:tcBorders>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260 Charles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302</w:t>
            </w:r>
          </w:p>
        </w:tc>
        <w:tc>
          <w:tcPr>
            <w:tcW w:w="3560" w:type="dxa"/>
            <w:vAlign w:val="bottom"/>
          </w:tcPr>
          <w:p>
            <w:pPr>
              <w:spacing w:after="0"/>
              <w:rPr>
                <w:sz w:val="24"/>
                <w:szCs w:val="24"/>
                <w:color w:val="auto"/>
              </w:rPr>
            </w:pPr>
          </w:p>
        </w:tc>
      </w:tr>
      <w:tr>
        <w:trPr>
          <w:trHeight w:val="198"/>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11"/>
          </w:tcPr>
          <w:p>
            <w:pPr>
              <w:jc w:val="center"/>
              <w:ind w:right="1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Waltham, MA 02453</w:t>
            </w:r>
          </w:p>
        </w:tc>
        <w:tc>
          <w:tcPr>
            <w:tcW w:w="3560" w:type="dxa"/>
            <w:vAlign w:val="bottom"/>
          </w:tcPr>
          <w:p>
            <w:pPr>
              <w:spacing w:after="0"/>
              <w:rPr>
                <w:sz w:val="17"/>
                <w:szCs w:val="17"/>
                <w:color w:val="auto"/>
              </w:rPr>
            </w:pPr>
          </w:p>
        </w:tc>
      </w:tr>
      <w:tr>
        <w:trPr>
          <w:trHeight w:val="20"/>
        </w:trPr>
        <w:tc>
          <w:tcPr>
            <w:tcW w:w="48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13"/>
          </w:tcPr>
          <w:p>
            <w:pPr>
              <w:jc w:val="center"/>
              <w:ind w:left="3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60" w:type="dxa"/>
            <w:vAlign w:val="bottom"/>
          </w:tcPr>
          <w:p>
            <w:pPr>
              <w:spacing w:after="0"/>
              <w:rPr>
                <w:sz w:val="20"/>
                <w:szCs w:val="20"/>
                <w:color w:val="auto"/>
              </w:rPr>
            </w:pPr>
          </w:p>
        </w:tc>
      </w:tr>
      <w:tr>
        <w:trPr>
          <w:trHeight w:val="392"/>
        </w:trPr>
        <w:tc>
          <w:tcPr>
            <w:tcW w:w="6140" w:type="dxa"/>
            <w:vAlign w:val="bottom"/>
            <w:gridSpan w:val="8"/>
          </w:tcPr>
          <w:p>
            <w:pPr>
              <w:jc w:val="center"/>
              <w:ind w:left="5030"/>
              <w:spacing w:after="0"/>
              <w:rPr>
                <w:sz w:val="20"/>
                <w:szCs w:val="20"/>
                <w:color w:val="auto"/>
              </w:rPr>
            </w:pPr>
            <w:r>
              <w:rPr>
                <w:rFonts w:ascii="Times New Roman" w:cs="Times New Roman" w:eastAsia="Times New Roman" w:hAnsi="Times New Roman"/>
                <w:sz w:val="18"/>
                <w:szCs w:val="18"/>
                <w:b w:val="1"/>
                <w:bCs w:val="1"/>
                <w:color w:val="auto"/>
                <w:w w:val="99"/>
              </w:rPr>
              <w:t>248-651-6568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under Section 12(b) of the Exchange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135"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Large accelerated filer</w:t>
      </w:r>
    </w:p>
    <w:p>
      <w:pPr>
        <w:spacing w:after="0" w:line="70"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0"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00" w:lineRule="exact"/>
        <w:rPr>
          <w:sz w:val="24"/>
          <w:szCs w:val="24"/>
          <w:color w:val="auto"/>
        </w:rPr>
      </w:pPr>
    </w:p>
    <w:p>
      <w:pPr>
        <w:sectPr>
          <w:pgSz w:w="11900" w:h="16838" w:orient="portrait"/>
          <w:cols w:equalWidth="0" w:num="2">
            <w:col w:w="5600" w:space="720"/>
            <w:col w:w="4920"/>
          </w:cols>
          <w:pgMar w:left="320" w:top="513" w:right="339" w:bottom="1440" w:gutter="0" w:footer="0" w:header="0"/>
          <w:type w:val="continuous"/>
        </w:sectPr>
      </w:pPr>
    </w:p>
    <w:p>
      <w:pPr>
        <w:spacing w:after="0" w:line="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18,321,886 common shares as of August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20" w:type="dxa"/>
            <w:vAlign w:val="bottom"/>
            <w:gridSpan w:val="6"/>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9"/>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60" w:type="dxa"/>
            <w:vAlign w:val="bottom"/>
            <w:gridSpan w:val="7"/>
            <w:shd w:val="clear" w:color="auto" w:fill="CCEEFF"/>
          </w:tcPr>
          <w:p>
            <w:pPr>
              <w:jc w:val="center"/>
              <w:ind w:right="292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6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920" w:type="dxa"/>
            <w:vAlign w:val="bottom"/>
            <w:gridSpan w:val="6"/>
            <w:shd w:val="clear" w:color="auto" w:fill="CCEEFF"/>
          </w:tcPr>
          <w:p>
            <w:pPr>
              <w:jc w:val="center"/>
              <w:ind w:right="306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64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64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28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financial statements included in this Form 10-Q are as follows:</w:t>
      </w:r>
    </w:p>
    <w:p>
      <w:pPr>
        <w:spacing w:after="0" w:line="225" w:lineRule="exact"/>
        <w:rPr>
          <w:sz w:val="20"/>
          <w:szCs w:val="20"/>
          <w:color w:val="auto"/>
        </w:rPr>
      </w:pPr>
    </w:p>
    <w:p>
      <w:pPr>
        <w:ind w:left="1140" w:hanging="610"/>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Balance Sheets as of June 30, 2024 (unaudited) and December 31,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610"/>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Operations for the three and six months ended June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610"/>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Changes in Stockholders’ Equity for the three and six months June 30, 2024 and 2023 (unaudited);</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u w:val="single" w:color="auto"/>
          <w:color w:val="0000EE"/>
        </w:rPr>
        <w:t>Condensed Consolidated Statements of Cash Flows for the six months ended June 30, 2024 and 2023 (unaudited);</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0000EE"/>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13,852</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$371 and $480 at June 30, 2024 and December 31, 2023,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24,521</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3,190</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78,357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78,357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14,470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 and customer relationships,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34,198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183,374</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14,956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17,882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32,296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34,231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(See note 11)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June 30, 2024 or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20,061,907 and 19,899,679 shares issued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$0.001 par value, 1,741,397 shares held at June 30, 2024 and December 31, 2023</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196,164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190,793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(75,166)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(64,258)</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183,374</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18,812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38,502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26,821</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presented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100" w:type="dxa"/>
            <w:vAlign w:val="bottom"/>
          </w:tcPr>
          <w:p>
            <w:pPr>
              <w:spacing w:after="0"/>
              <w:rPr>
                <w:sz w:val="22"/>
                <w:szCs w:val="22"/>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7,108</w:t>
            </w:r>
          </w:p>
        </w:tc>
        <w:tc>
          <w:tcPr>
            <w:tcW w:w="26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5,993</w:t>
            </w:r>
          </w:p>
        </w:tc>
        <w:tc>
          <w:tcPr>
            <w:tcW w:w="14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14,595</w:t>
            </w:r>
          </w:p>
        </w:tc>
        <w:tc>
          <w:tcPr>
            <w:tcW w:w="260" w:type="dxa"/>
            <w:vAlign w:val="bottom"/>
          </w:tcPr>
          <w:p>
            <w:pPr>
              <w:spacing w:after="0"/>
              <w:rPr>
                <w:sz w:val="22"/>
                <w:szCs w:val="22"/>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11,563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14,380</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12,209</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30,545</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26,208</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15,453</w:t>
            </w:r>
          </w:p>
        </w:tc>
        <w:tc>
          <w:tcPr>
            <w:tcW w:w="2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32,685</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(1,528)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(3,074)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1,088</w:t>
            </w:r>
          </w:p>
        </w:tc>
        <w:tc>
          <w:tcPr>
            <w:tcW w:w="26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18,257,879</w:t>
            </w:r>
          </w:p>
        </w:tc>
        <w:tc>
          <w:tcPr>
            <w:tcW w:w="2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16,992,100</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18,213,992</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17,043,493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18,257,879</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16,992,100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18,213,992</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17,043,493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 basic</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Loss per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202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19,899,679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(1,741,397)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options exercised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19,921,879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193,677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122,537</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options exercised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140,028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20,061,907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121,016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SIX MONTHS ENDED JUNE 30,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202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18,288,571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(1,214,398)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options exercised</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18,331,511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(1,214,398)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123,963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options exercised</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18,376,771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115,815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5,926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held-to-maturity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of held-to-maturity investments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112,501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 including intellectual property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employee withholding taxes related to the vesting of restricted stock units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(7,621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13,852</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18,210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OptimizeRx Corporation and its wholly owned subsidiaries (collectively, the “Company”, “we”, “our”, or “us”).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technology platform embedded within a proprietary point-of-care network, as well as mass digital communications channels, OptimizeRx helps life sciences organizations engage and support their customers. We operate a single reporting segment and, accordingly, the consolidated statements of profit or loss provide this information and it is not presented separately here.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for the three and six months ended June 30, 2024 and 2023 have been prepared by us without audit pursuant to the rules and regulations of the U.S. Securities and Exchange Commission (“SEC”). In the opinion of management, all adjustments necessary to present fairly our financial position at June 30, 2024, and our results of operations, changes in stockholders’ equity, and cash flows for the six months ended June 30, 2024 and 2023, have been made. Those adjustments consist of normal and recurring adjustments. The condensed consolidated balance sheet as of December 31, 2023, has been derived from the audited consolidated condensed balance sheet as of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2023, as filed with the SEC on April 15, 2024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three and six months ended June 30, 2024, are not necessarily indicative of the results to be expected for the full year.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2023, the Company acquired 100% of the issued and outstanding preferred and common stock of Healthy Offers, Inc., a Nevada corporation d/b/a Medicx Health (“Medicx Health”) - See Part II, Item 8. Financials Statements and Supplementary Data; Note 3 - Acquisitions in our Form 10-K for additional information regarding this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pro forma consolidated statement of operations as if Medicx Health had been included in the consolidated results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three and six months ended June 30,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8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Pro-forma consolidated statement of operations</w:t>
            </w:r>
          </w:p>
        </w:tc>
        <w:tc>
          <w:tcPr>
            <w:tcW w:w="20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22,408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(14,708)</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amounts have been calculated after applying the Company’s accounting policies, adjusting Medicx Health results to reflect the additional amortization that would have been charged assuming the fair value adjustments to intangible assets had been applied on January 1, 2023, interest expense associated with the term loan and elimination of interest income on short-term investments that were used to fund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disposed of its non-core Access business - See Part II, Item 8. Financials Statements and Supplementary Data; Note 7 - Goodwill and Intangible Assets in our Form 10-K for additional information regarding this transaction. A pro forma statement of operations for the three and six months ended June 30, 2024, is not presented for this transaction as the pro forma impacts were not material to the Company’s consolidated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presented in the pro forma financial consolidated statement of operations data above includes $1,213 and $3,080, respectively related to the Access and other non-core solutions for which no revenue was recorded in the three and six months ended June 30, 2024, (see also the discussion under Net Revenues in Results of Operations for the three and six months ended June 30, 2024 in Part I, Item 2.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Accounting Estimate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its policy, the Company periodically reviews the stand-alone selling prices of its performance obligations under ASC 606 for use in allocating the contract prices. As a result, effective April 1, 2024, the Company updated the methodology for determining the value of program design and consulting services from the residual method to using an adjusted market assessment approach. The effect of this change in estimate was immaterial to the results for the three and six months ended June 30, 2024, but may become material in future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the sale of an asset or paid upon the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carrying amounts of financial instruments, including cash and cash equivalents, accounts receivable, accounts payable, and other current liabilities, approximate their fair values due to their short maturities.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CASH, CASH EQUIVALENTS AND SHORT-TERM INVESTMENTS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“Investments - Equity Securities”, as the shares have a readily determinable fair value quoted on the national stock exchange and are classified within Level 1 of the fair value hierarchy. At June 30, 2024 and December 31, 2023, we have recorded $8.1 million and none, respectively, of money market funds at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CAPITALIZED SOFTWARE COSTS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capitalizes certain development costs incurred in connection with software development for internal-use software platforms used in operations and for providing services to our customers. Costs incurred in the preliminary stages of development are expensed as incurred. Once software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internal use software development costs are included in intangible assets and are amortized on a straight-line basis over the estimated useful life of the software platforms and are included in depreciation and amortization within operating expenses in the consolidated statements of operations. Amortization of capitalized internal use software expense for the three and six months ended June 30, 2024 and 2023 was $71 and $141 and $48 and $95, respectively. The Company accumulates capitalizable costs related to current projects in a construction in process (“CIP”) software account, the balance of which was $393 and $696 at June 30, 2024 and December 31,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REVENUES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Topic 606”),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$4,134 and $3,288 at June 30, 2024, and December 31, 2023, respectively. Amounts billed in advance of revenue recognition are presented as deferred revenue on the condensed consolidated balance sheets.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customers.The Company’s contracts are generally less than one year and the primary performance obligation is delivery of messages, or content, but the contract may contain additional services. Additional services may include program design, which is the design of the content delivery program, set up, and reporting.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 Revenue is recognized at the point in time when the work product is delivered to the customer. The net contract balance for contracts in progress at June 30, 2024 and December 31, 2023, was $26,766 and $2,021, respectively. The outstanding performance obligations are expected to be satisfied during the year ended December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2023 and during the first half of 2024, there were two contracts with customers that included a rebate clause.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some instances, we also resell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In instances where we resell these messaging solutions and have all financial risk and significant operation input and risk, we record the revenue based on the gross amount sold and the amount paid to the channel partner as a cost of sales.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messaging, or other services, which include payment in advance. The payments are not recorded as revenue until the revenue is earned under its revenue recognition policy. Deferred revenue was $1,053 and $172 as of June 30, 2024 and December 31, 2023, respectively. The contracts are all short term in nature and all revenue is expected to be recognized within 12 months, or less. The following is a summary of activity for the deferred revenue account for the six months ended 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5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March 31</w:t>
            </w:r>
          </w:p>
        </w:tc>
        <w:tc>
          <w:tcPr>
            <w:tcW w:w="5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7"/>
        </w:trPr>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w:t>
            </w:r>
          </w:p>
        </w:tc>
        <w:tc>
          <w:tcPr>
            <w:tcW w:w="5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vMerge w:val="continue"/>
            <w:shd w:val="clear" w:color="auto" w:fill="CCEEFF"/>
          </w:tcPr>
          <w:p>
            <w:pPr>
              <w:spacing w:after="0"/>
              <w:rPr>
                <w:sz w:val="21"/>
                <w:szCs w:val="21"/>
                <w:color w:val="auto"/>
              </w:rPr>
            </w:pPr>
          </w:p>
        </w:tc>
        <w:tc>
          <w:tcPr>
            <w:tcW w:w="5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
        </w:trPr>
        <w:tc>
          <w:tcPr>
            <w:tcW w:w="350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18,812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38,502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changes in the allowance for credit losses for the six months ended June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5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5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5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March 31,</w:t>
            </w:r>
          </w:p>
        </w:tc>
        <w:tc>
          <w:tcPr>
            <w:tcW w:w="5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5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5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5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1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ectPr>
          <w:pgSz w:w="11900" w:h="16838" w:orient="portrait"/>
          <w:cols w:equalWidth="0" w:num="1">
            <w:col w:w="11240"/>
          </w:cols>
          <w:pgMar w:left="320" w:top="873"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comprised the following at June 30, 2024 and December 31,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due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unamortized issuance costs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37,290</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38,290</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1"/>
        </w:trPr>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(1,694)</w:t>
            </w:r>
          </w:p>
        </w:tc>
        <w:tc>
          <w:tcPr>
            <w:tcW w:w="24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34,231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Term loan bears interest at 14.1%, with an effective rate of 16.2%, including the impact of the amortization of debt issuance costs of $182 and $365 for the three and six months ended June 30,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full compliance with the financial covenants associated with the Term loan.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is repayable in quarterly installments, beginning December 31, 2023, equivalent to 1.25% or $500,000, of the original principal amount, with the outstanding unpaid principal and all accrued but unpaid interest due and payable on the earlier of (i) the fourth anniversary of the closing date of the Term Loan or (ii) the date on which the Term Loan is declared due and payable pursuant to the terms of the Financing.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 or less than or equal; to 4.10 to 1.00 and 75%, if the leverage ratio is greater than 4.10 to 1.00. Excess Cash Flow is defined in the Financing as Consolidated EBITDA for the previous fiscal year less scheduled principal and interest payments, capital expenditure, cash taxes and any cash expenses/gains added back to net income in the calculation of Consolidated EBITDA, adjusted for any increase/decrease in working capital during the fiscal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Repayments due under the terms of the Term loan, including an estimate of the amount associated with the Excess Cash Flow calculation discussed above, for the remainder of the current and in each of the next three fiscal years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6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6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6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37,290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LEASES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operating leases with terms greater than 12 months for office space in four multi-tenant facilities, which are recorded as Operating lease right-of-use assets and Operating lease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 Company’s lease cost consists of the following components, each of which is included in operating expenses within the Company’s condensed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20" w:type="dxa"/>
            <w:vAlign w:val="bottom"/>
            <w:gridSpan w:val="4"/>
          </w:tcPr>
          <w:p>
            <w:pPr>
              <w:jc w:val="center"/>
              <w:ind w:left="19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62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84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future minimum lease payments to be made under operating leases in each of the remainder of the current and next four fiscal years and thereafter: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remaining lease term at June 30, 2024 for the operating lease is 2.8 years, and the weighted average discount rate used in calculating the operating lease asset and liability is 6.85%. Cash paid for amounts included in the measurement of lease liabilities was $109 and $45 for the six months ended June 30, 2024 and 2023, respectively. For the six months ended June 30, 2024 and 2023, payments on lease obligations were $127 and $49, respectively, and amortization on the right of use assets was $113 and $49,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10,000,000 shares of preferred stock, $0.001 par value per share, authorized as of June 30, 2024. No shares were issued or outstanding in either 2024 or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166,666,667 shares of common stock, $0.001 par value per share, authorized as of June 30, 2024. There were 18,320,510 and 18,158,282 shares of common stock outstanding, net of shares held in treasury of 1,741,397 and 1,741,397 at June 30, 2024 and December 31, 2023,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quarters ended March 31, 2024 and June 30, 2024, no shares of our common stock were issued, and no proceeds were received in connection with the exercise of options under our 2013 Incentive Plan and our 2021 Equity Incentive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quarters ended March 31, 2024 and June 30, 2024, 22,200 and 140,028 shares of common stock, respectively, were issued in connection with the vesting of restricted stock units under our 2013 Incentive Plan and our 2021 Equity Incentive Plan. Some of the participants utilized a net withhold settlement method, in which shares were surrendered to cover payroll withholding taxes. Of the shares issued to participants during the six months ended June 30, 2024, a total of 48,281 shares, valued at $555,007, were surrendered and subsequently cancelled.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quarters ended March 31, 2023 and June 30, 2023, the Company issued 9,668 and 10,000 shares of our common stock and received proceeds of $40 and $105, respectively, in connection with the exercise of options under our 2013 Incentive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quarters ended March 31, 2023 and June 30, 2023, the Company issued 33,272 and 35,260 shares of common stock in connection with the vesting of restricted stock units under our 2013 Incentive Plan and our 2021 Equity Incentive Plan. 23,217 shares valued at $244 were surrendered in connection with the net withhold settlement method, and were subsequently cancelled.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Treasury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2023, the Board authorized a share repurchase program, under which the Company could repurchase up to $15.0 million of its outstanding common stock. This stock repurchase authorization expired on March 12,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and six months ended June 30, 2024 the Company did not repurchase any of its outstanding shares of common stock. During the quarter and six months ended June 30, 2023 the Company repurchased 526,999 shares of common stock under this program for a total of $7,522, including commissions paid on repurchases. These shares were recorded as treasury shares using the par value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STOCK 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2024, at the 2024 Annual Meeting of Stockholders, the Company’s stockholders approved an amendment to the 2021 Equity Incentive Plan to increase the number of shares of common stock available for awards under the 2021 Equity Incentive Plan by 1,950,000 shares for a total of 4,450,000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expense related to options for the six months ended June 30, 2024 and 2023 was $2,502 and $3,122, respectively. The fair value of these instruments was calculated using the Black-Scholes option pricing model. There is $5,031 of remaining expense related to unvested options to be recognized in the future over a weighted average period of 1.57 years. The total intrinsic value of outstanding options at June 30, 2024 was $214.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2022, the Company granted certain performance based stock options, the expense for which will be recorded over time once the achievement of the performance is deemed probable. There was $8 in expense related to these options recorded during the three and six months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$3,424 and $4,762 in compensation expense related to restricted stock units for the six months ended June 30, 2024 and 2023, respectively. A total of $8,337 remains to be recognized at June 30, 2024 over a weighted average period of 1.52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granted certain performance based restricted stock units, the expense for which will be recorded over time once the achievement of the performance is deemed probable. There was $8 in expense related to these restricted stock units recorded during the three and six months ended June 30,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compensation program calls for the grant of restricted stock units with a one year vesting period. There was $402 and $352 included in the compensation expense discussed above related to director’s compensation for the periods ended June 30,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LOSS PER SHARE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by the weighted average number of common shares outstanding during the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number of shares related to options and restricted stock units included in diluted EPS is based on the “Treasury Stock Method” prescribed in ASC 260-10,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that could be included in the calculation of EPS in respect of the stock options and restricted stock units is dependent on this average stock price and will increase as the average stock price increases.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(10,908)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computing net loss per share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18,257,879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16,992,100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18,213,992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17,043,493</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stock options, warrants, and stock grants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vMerge w:val="continue"/>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18,257,879</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16,992,100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18,213,992</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17,043,493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common shares potentially issuable upon the exercise of certain options and the vesting of certain restricted stock units that were excluded from the diluted loss per common share calculation are reflected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for the periods ended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93,431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81,514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24,922</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100,664</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88,132</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49,845</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COMMITMENTS AND CONTINGENT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partners to acquire minimum amounts of media, data or messaging capabilities. As of June 30, 2024, the Company had commitments for future minimum payments of $18.5 million that will be reflected in cost of revenues during the years from 2024 through 2028. Minimum payments are due in the remainder of 2024 and fiscal 2025, 2026, 2027 and 2028 in the amounts of $3.9 million, $8.5 million, $3.6 million, $2.4 million and $0.1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INCOME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a benefit from income taxes of $1,088 and $744 for the three and six months ended June 30, 2024, representing an effective tax rate of 21.4% and 6.4%. The effective tax rate for the three and six months ended June 30, 2024 reflects the impact of certain permanent items, projected increases in our valuation allowance during the year and discrete items for the quarter related to stock based compensation.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provision for or benefit from taxes in the three and six months ended June 30, 2023, as we carried a full valuation allowance against our net deferred tax assets due to our history of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2023, we had net operating loss carry-forwards for federal income tax purposes of approximately $16.7 million as of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Actual results could differ materially from those expressed in or implied by such forward-looking statements due to a variety of factors, including: our history of losses, seasonal trends in the pharmaceutical brand marketing industry; the inability to support our technology and scale our operations successfully, developing and implementing new and updated applications, features and services for our solutions may be more difficult and expensive and take longer than expected; the inability to offer high-quality customer support for our solutions;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targets, complete acquisitions, or integrate acquisitions successfully; acquisition activities may disrupt ongoing business and may involve increased expenses; inability to realize the financial and strategic goals contemplated at the time of a transaction; inability to realize any synergies or other anticipated benefits of an acquisition or that such synergies or benefits may take longer than anticipated to be realized; risk that the integration with an acquired entity may be more costly or difficult than expected; impairment charges for goodwill or other intangible assets may be increased as we shift our focus away from our non-core businesses; inability to comply with the restrictions in our credit agreement; inability to generate sufficient cash to service debt and fund other obligations;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volatility in the market price of our common stock; and the failure to remediate the identified material weakness or any other material weaknesses identified in the future.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2023. Moreover, we operate in a rapidly changing and competitive environment. New risk factors emerge from time to time, and it is not possible for management to predict all such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omnichannel technology platform embedded within a proprietary point-of-care network, as well as mass digital communications channels, OptimizeRx helps life sciences organizations engage and support their customers.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our revenue was generated primarily through the facilitation of various types of messages to health care providers via their EHR systems and ERx platforms using the OptimizeRx proprietary network to solve the ever-increasing communication barriers between pharmaceutical representatives and healthcare providers that have presented in the rapidly changing healthcare industry. Over time, the demand for different types of communication and marketing solutions among life sciences organizations, healthcare providers, and patients led us to expand upon our initial solutions to increase the variety of health-related information we deliver, as well as the platforms, technology, media distribution channels, and audiences through and to which we deliver. In addition, the October 2023 acquisition of Medicx Health provided the Company with a significant footprint for direct-to-consumer healthcare marketing. Today, we offer diverse tech-enabled marketing solutions through our AI-generated DAAP, using sophisticated machine-learning algorithms to find the best audiences in the correct channels at the right time. Customers are able to execute traditional marketing campaigns on our proprietary digital point-of-care network, as well as dynamic marketing campaigns that optimize audiences in real time to increase the value of treatment information for healthcare professionals and patients in response to clinical care events. We employ a “land and expand” strategy focused on growing our existing client base and generating greater and more consistent revenues in part through the continued shift in our business model toward enterprise level engagements, while also broadening our omnichannel network. Our strategy for driving revenue growth is also expected to work in tandem with our efforts to increase margin and profitability as revenue drivers such as DAAP have inherently higher margins than most other messaging solutions we offer.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 impact on our operating results. Our top five customers represented approximately 44% and 39% of our revenue for the years ended December 31, 2023 and December 31, 2022, respectively. In each of 2023 and 2022, we had one customer that each represented more than 10% of our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Unfavorable conditions in the economy may negatively affect the growth of our business and our results of operations. For example, macroeconomic events including rising inflation and high interest rates have led to economic uncertainty.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2023 revenue”. We previously used “The top 20 pharma companies by 2022 revenue”. As a result of this change, prior periods have been restated for comparative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Average revenue per top 20 pharmaceutical manufacturer. </w:t>
      </w:r>
      <w:r>
        <w:rPr>
          <w:rFonts w:ascii="Times New Roman" w:cs="Times New Roman" w:eastAsia="Times New Roman" w:hAnsi="Times New Roman"/>
          <w:sz w:val="18"/>
          <w:szCs w:val="18"/>
          <w:color w:val="auto"/>
        </w:rPr>
        <w:t>Average revenue per top 20 pharmaceutical manufacturer is calculated by taking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the Company recognized through pharmaceutical manufacturers listed in Fierce Pharma’s “The top 20 pharma companies by 2023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twelve months ended June 30, 2024 as compared to the twelve months ended June 30, 2023 is primarily the result of stronger DAAP related revenue streams and the Company’s October 2023 acquisition of Medicx Health, which added to 2024 revenues and was not included in the 2023 amounts (in thousands).</w:t>
      </w:r>
    </w:p>
    <w:p>
      <w:pPr>
        <w:spacing w:after="0" w:line="18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Average revenue per top 20 pharmaceutical manufacturer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2,699</w:t>
        <w:tab/>
        <w:t>$</w:t>
      </w:r>
      <w:r>
        <w:rPr>
          <w:sz w:val="20"/>
          <w:szCs w:val="20"/>
          <w:color w:val="auto"/>
        </w:rPr>
        <w:tab/>
      </w:r>
      <w:r>
        <w:rPr>
          <w:rFonts w:ascii="Times New Roman" w:cs="Times New Roman" w:eastAsia="Times New Roman" w:hAnsi="Times New Roman"/>
          <w:sz w:val="18"/>
          <w:szCs w:val="18"/>
          <w:color w:val="auto"/>
        </w:rPr>
        <w:t>1,804</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Percent of top 20 pharmaceutical manufacturers that are customers. </w:t>
      </w:r>
      <w:r>
        <w:rPr>
          <w:rFonts w:ascii="Times New Roman" w:cs="Times New Roman" w:eastAsia="Times New Roman" w:hAnsi="Times New Roman"/>
          <w:sz w:val="18"/>
          <w:szCs w:val="18"/>
          <w:color w:val="auto"/>
        </w:rPr>
        <w:t>Percent of top 20 pharmaceutical manufacturers that are customers is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taking the number of revenue generating customers that are pharmaceutical manufacturers listed in Fierce Pharma’s “The top 20 pharma companies by 2023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Our penetration within this core customer group stayed consistent from the twelve months ended June 30, 2023 to the twelve months ended June 30, 2024.</w:t>
      </w:r>
    </w:p>
    <w:p>
      <w:pPr>
        <w:spacing w:after="0" w:line="18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Rolling Twelve Months</w:t>
      </w:r>
    </w:p>
    <w:p>
      <w:pPr>
        <w:spacing w:after="0" w:line="3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Percent of total revenue attributable to top 20 pharmaceutical manufacturers. </w:t>
      </w:r>
      <w:r>
        <w:rPr>
          <w:rFonts w:ascii="Times New Roman" w:cs="Times New Roman" w:eastAsia="Times New Roman" w:hAnsi="Times New Roman"/>
          <w:sz w:val="18"/>
          <w:szCs w:val="18"/>
          <w:color w:val="auto"/>
        </w:rPr>
        <w:t>Percent of total revenue attributable to top 20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is calculated by taking the total revenue the Company recognized through pharmaceutical manufacturers listed in Fierce Pharma’s “The top 20 pharma companies by 2023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w:t>
      </w:r>
    </w:p>
    <w:p>
      <w:pPr>
        <w:spacing w:after="0" w:line="17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Rolling Twelve Months</w:t>
      </w:r>
    </w:p>
    <w:p>
      <w:pPr>
        <w:spacing w:after="0" w:line="3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Net revenue retention is a comparison of revenue generated from all customers in the previous twelve-month period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June 30, 2024 was higher due to stronger DAAP related revenue and the acquisition of Medicx Health in the fourth quarter of 2023.</w:t>
      </w:r>
    </w:p>
    <w:p>
      <w:pPr>
        <w:spacing w:after="0" w:line="17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Rolling Twelve Months</w:t>
      </w:r>
    </w:p>
    <w:p>
      <w:pPr>
        <w:spacing w:after="0" w:line="3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(“FTE”), as total revenue over the last twelve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increased year over year due to revenue growing at a higher rate than the average number of FTEs over the last 12 month period (in thousands).</w:t>
      </w:r>
    </w:p>
    <w:p>
      <w:pPr>
        <w:spacing w:after="0" w:line="17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Rolling Twelve Months</w:t>
      </w:r>
    </w:p>
    <w:p>
      <w:pPr>
        <w:spacing w:after="0" w:line="31"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520" w:val="left"/>
          <w:tab w:leader="none" w:pos="10000" w:val="left"/>
          <w:tab w:leader="none" w:pos="10840" w:val="left"/>
        </w:tabs>
        <w:rPr>
          <w:sz w:val="20"/>
          <w:szCs w:val="20"/>
          <w:color w:val="auto"/>
        </w:rPr>
      </w:pPr>
      <w:r>
        <w:rPr>
          <w:rFonts w:ascii="Times New Roman" w:cs="Times New Roman" w:eastAsia="Times New Roman" w:hAnsi="Times New Roman"/>
          <w:sz w:val="18"/>
          <w:szCs w:val="18"/>
          <w:color w:val="auto"/>
        </w:rPr>
        <w:t>Revenue per average full-time employee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658</w:t>
        <w:tab/>
        <w:t>$</w:t>
      </w:r>
      <w:r>
        <w:rPr>
          <w:sz w:val="20"/>
          <w:szCs w:val="20"/>
          <w:color w:val="auto"/>
        </w:rPr>
        <w:tab/>
      </w:r>
      <w:r>
        <w:rPr>
          <w:rFonts w:ascii="Times New Roman" w:cs="Times New Roman" w:eastAsia="Times New Roman" w:hAnsi="Times New Roman"/>
          <w:sz w:val="18"/>
          <w:szCs w:val="18"/>
          <w:color w:val="auto"/>
        </w:rPr>
        <w:t>565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sets forth, for the periods indicated, the dollar value and percentage of net revenue represented by certain items in our consolidated statements of operations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8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18,812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13,818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0"/>
                <w:szCs w:val="20"/>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7,108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tcPr>
          <w:p>
            <w:pPr>
              <w:spacing w:after="0"/>
              <w:rPr>
                <w:sz w:val="20"/>
                <w:szCs w:val="20"/>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5,993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62.2%</w:t>
            </w: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w:t>
            </w:r>
          </w:p>
        </w:tc>
      </w:tr>
      <w:tr>
        <w:trPr>
          <w:trHeight w:val="23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15,453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82.1%</w:t>
            </w:r>
          </w:p>
        </w:tc>
        <w:tc>
          <w:tcPr>
            <w:tcW w:w="340" w:type="dxa"/>
            <w:vAlign w:val="bottom"/>
          </w:tcPr>
          <w:p>
            <w:pPr>
              <w:spacing w:after="0"/>
              <w:rPr>
                <w:sz w:val="20"/>
                <w:szCs w:val="20"/>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12,674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(1,528)</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721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58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w:t>
            </w:r>
          </w:p>
        </w:tc>
        <w:tc>
          <w:tcPr>
            <w:tcW w:w="60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spacing w:after="0"/>
              <w:rPr>
                <w:sz w:val="20"/>
                <w:szCs w:val="20"/>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1,088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and percentage of net revenue information may not add due to rounding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38,502</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26,821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0"/>
                <w:szCs w:val="20"/>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14,595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11,563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w:t>
            </w:r>
          </w:p>
        </w:tc>
        <w:tc>
          <w:tcPr>
            <w:tcW w:w="3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w:t>
            </w:r>
          </w:p>
        </w:tc>
      </w:tr>
      <w:tr>
        <w:trPr>
          <w:trHeight w:val="23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32,685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84.9%</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27,203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3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(3,074)</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8"/>
                <w:szCs w:val="18"/>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8"/>
                <w:szCs w:val="18"/>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125</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1,386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58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(2,874</w:t>
            </w:r>
          </w:p>
        </w:tc>
        <w:tc>
          <w:tcPr>
            <w:tcW w:w="360" w:type="dxa"/>
            <w:vAlign w:val="bottom"/>
            <w:tcBorders>
              <w:top w:val="single" w:sz="8" w:color="CCEEFF"/>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1,386</w:t>
            </w:r>
          </w:p>
        </w:tc>
        <w:tc>
          <w:tcPr>
            <w:tcW w:w="60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20"/>
                <w:szCs w:val="20"/>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744</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5040" w:hanging="5532"/>
        <w:spacing w:after="0" w:line="541" w:lineRule="auto"/>
        <w:tabs>
          <w:tab w:leader="none" w:pos="33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Balances and percentage of net revenue information may not add due to rounding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revenue reported for the three months ended June 30, 2024 was approximately $18,812, an increase of approximately 36% over the approximately $13,818 from the same period in 2023. Our net revenue reported for the six months ended June 30, 2024 was approximately $38,502, an increase of approximately 44% over the approximately $26,821 from the same period in 2023. The increase in net revenue was as a result of the impact of the fourth quarter 2023 acquisition of Medicx Health, which was not included in the prior year numbers, plus growth of DAAP related sales, where the quarter benefited from an increase list delivery related revenue tied to new DAAP program launches. The increases in the three and six months ended June 30, 2024 were partially offset by a reduction of approximately $1,213 and $3,080, respectively, as a result of the disposal of our non-core Access solutions and the sale of certain non-core solutions-related contracts in the fourth quarter of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of $22,408 and $43,439, as shown in the pro forma financial consolidated statement of operations data table in Note 1 above, includes $1,213 and $3,080 related to the Access and other non-core solutions revenues for the three and six months ended June 30, 2023, compared to $18,812 and $38,502 for the three and six months ended June 30, 2024, for which no Access or other non-core solutions revenue was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revenues, comprised primarily of revenue share expense paid to our network partners as well as costs associated with licensing data from third parties, was approximately $7,108 or 37.8% of net revenues for the three months ended June 30, 2024 compared to $5,993 or 43.4% of net revenues for the three months ended June 30, 2023 and was approximately $14,595 or 38% of net revenues for the six months ended June 30, 2024, compared to $11,563 or 43% of net revenues for the six months ended June 30,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cost of revenues as a percentage of revenues was a result of solution and channel mix. Additional discussion is included in the Gross Margin section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margin, which is the difference between our revenues and our cost of revenues, was approximately $11,704 or 62.2% of net revenues for the three months ended June 30, 2024 compared to $5,993 or 56.6% of net revenues for the three months ended June 30, 2023 and was approximately $14,595 or 38% of net revenues for six months ended June 30, 2024 compared to $11,563 or 43% of net revenues for the six months ended June 30,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higher second quarter revenues compared to the same year ago period due to the fourth quarter acquisition of Medicx Health and growth in our DAAP related sales, leading to increased gross margin. Our overall margin percentage improved, compared with a year ago, as a result of an increased delivery of higher margin revenue solutions, such as DAAP, and using more cost-effective channel partnerships.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increased to approximately $15,453 for the three months ended June 30, 2024 from approximately $12,674 for the same period in 2023, an increase of approximately 22%. For six months ended June 30, 2024 operating expenses were approximately $32,685 compared to approximately $27,137 for the six months ended June 30, 2023, a increase of 20%. The detail by major category is reflected in the table below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11,477</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24,619</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vMerge w:val="continue"/>
          </w:tcPr>
          <w:p>
            <w:pPr>
              <w:spacing w:after="0"/>
              <w:rPr>
                <w:sz w:val="20"/>
                <w:szCs w:val="20"/>
                <w:color w:val="auto"/>
              </w:rPr>
            </w:pPr>
          </w:p>
        </w:tc>
        <w:tc>
          <w:tcPr>
            <w:tcW w:w="1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15,453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32,685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27,137</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decreased from approximately $3,503 for the three months ended June 30, 2023, to approximately $2,903 for the three months ended June 30, 2024, and decreased from approximately $7,884 for the six months ended June 30, 2023, to approximately $5,926 for the six months ended June 30, 2024. The decrease in both periods was a result of the lower grant date fair value of awards due to declines in the Company’s stock price as well as fewer equity awards made in such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from approximately $465 for the three months ended June 30, 2023, to approximately $1,073 for the three months ended June 30, 2024, and increased from approximately $929 for the six months ended June 30, 2023, to approximately $2,140 for the six months ended June 30, 2024. The increase in both periods was a result of the additional amortization associated with the identifiable intangibles arising from the Medicx Health acquisition.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general and administrative expenses increased from approximately $8,706 for the three months ended June 30, 2023 to approximately $11,477 for the three months ended June 30, 2024, and increased from approximately $18,325 for the six months ended June 30, 2023, to approximately $24,619 for the six months ended June 30, 2024. This increase in both periods is primarily a result of increases in compensation expense, due to additional headcount as a result of the Medicx Health acquisition therefore causing a related increase in bonus and commission expense, professional fees, primarily audit and accounting fees, insurance costs and partner integration incentives.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$1,528 and $3,074 for the three and six months ended June 30, 2024 and represents interest charges on our Term Loan, which was raised to partially fund the acquisition of Medicx Health in the fourth quarter of 2023, together with the amortization of the related issuance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was $75 for the three and six months ended June 30, 2024 and represents a reduction in the estimated amount due as a result of a supplier related payment contingency.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decreased from approximately $721 for the three months ended June 30, 2023, to approximately $106 for the three months ended June 30, 2024, and from approximately $1,386 for the six months ended June 30, 2023, to approximately $125 for the six months ended June 30, 2024. The decrease was a result of lower invested balances as we realized short-term investments during 2023 in order to partially fund the acquisition of Medicx Health.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was approximately $1,088, or an effective rate of 21.4%, and $744, or an effective rate of 6.4%for the three and six months ended June 30, 2024, respectively. For further information, see Part I, Item I. Financial Statements; Note 12 — Income Taxes in the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net loss of approximately $4,008 for the three months ended June 30, 2024, as compared to a net loss of approximately $4,161 during the three months ended June 30, 2023 and approximately $10,908 for the six months ended June 30, 2024 as compared to $10,559 for the six months ended June 30, 2023. The reasons and specific components associated with the change are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primary sources of liquidity have been cash receipts from customers and proceeds from equity offerings, in addition, during the year ended December 31, 2023, the Company entered into a Term loan of $40.0 million in order to partially fund the acquisition of Medicx Health. As of June 30, 2024, the total principal balance outstanding on the Term loan was approximately $37.3 million and we were in compliance with all of the financial covenants of the Term loan.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we had total current assets of approximately $46.0 million, compared with current liabilities of approximately $15.0 million, resulting in working capital of approximately $31.0 million and a current ratio of approximately 3.1 to 1. This represents a decrease from our working capital of approximately $36.4 million, whilst maintaining the same current ratio at 3.0 to 1 when compared to December 31, 2023. This decrease in our working capital is discussed in more detail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funds generated from operations, together with existing cash, will be sufficient to finance our current operations and meet our obligations under the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Following is a table with summary data from the consolidated statements of cash flows for the six months ended June 30, 2024 and 2023, as presented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generated approximately $2,900 from operating activities during the six months ended June 30, 2024, compared with $2,455 used in operating activities in the same period in 2023. We had a net loss of $10,908 for the first six months of 2024, which included non-cash expenses of $8,431. This was offset by cash generated by the collection of receivables.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by investing activities was approximately $238 for the six months ended June 30, 2024. We invested in internally developed software in the amount of $161 and spent $77 on property and equipment. Cash used in investing activities for the same period in the prior year was $1,674 as we made a net investment of $3,000 in treasury bills and invested $1,274 in internally developed software.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for financing activities was approximately $1,555, during the six months ended June 30, 2024. We used $555 to pay withholding taxes on behalf of employees vesting in restricted stock units and made repayments totaling $1,000 on our Term loan. Cash used for financing activities for the same period in prior year was $7,621, primarily related to the repurchase of 526,999 shares of our common stock for approximately $7,522. The remaining amount arose from paying withholding taxes on behalf of employees vesting in restricted stock units, partially offset by receipt of funds from the exercise of stock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 based compensation. Actual results could differ from those estimates and assumptions.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the Consolidated Financial Statements in the Annual Report on Form 10-K for the year ended December 31, 2023 (2023 Annual Report on Form 10-K). The accounting policies we used in preparing these financial statements are substantially consistent with those we applied in our 2023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estimates are described in Management’s Discussion and Analysis included in the 2023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contracts with various electronic health records systems and ePrescribe platforms, whereby we agree to share a portion of the revenue we generate for eCoupons or banners through their network. From time to time, the Company enters into arrangements with a partner to acquire minimum amounts of media, data or messaging capabilities. As of June 30, 2024, the Company had commitments for future minimum payments of approximately $18.5 million that will be reflected in cost of revenues during the remainder of 2024 and years 2025 through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concluded that, as of the end of the period covered by this report, our disclosure controls and procedures, as defined in Rule 13a-15(e), were not effective at the reasonable assurance level due to a material weakness in our internal control over financial reporting which was disclosed in our Annual Report on Form 10-K for the year ended December 31,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address the material weakness referenced above, the Company performed additional analysis and performed other procedures in order to prepare the consolidated financial statements in accordance with GAAP. Accordingly, management believes that the condensed consolidated financial statements included in this quarterly report on this Form 10-Q fairly present, in all material respects, our financial condition, results of operations and cash flows for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 material weakness identified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intends to implement the following remediation steps:</w:t>
      </w:r>
    </w:p>
    <w:p>
      <w:pPr>
        <w:spacing w:after="0" w:line="207"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require each third-party service organization to provide a SOC-1, Type 2 report to the Company for management to review and make adjustments to the remediation plans, as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obtain a valid SOC-1 Type 2 report or perform substantive testing of such third-party service organization’s control environment, the Company will implement a qualification and program triaging process, which would include modifying customer contracts, limiting the volume of activity with those third-parties and establishing other controls to ensure the completeness and accuracy of information received from those third-parties, such as performing tagging procedures where possible.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 believes the measures described above will remediate the material weakness that we have identified. During the quarter ended June 30, 2024, the Company continued to engage with the third-party service organizations to discuss the reporting requirements. As management continues to evaluate and improve our disclosure controls and procedures and internal controls over financial reporting, the Company may decide to take additional measures to address control deficiencies or determine to modify certain of the remediation measures identified.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noted above, there was no change in our internal control over financial reporting (as defined in Rule 13a-15(f) under the Exchange Act), that occurred during the quarter ended June 30,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the risks previously reported in PART 1, ITEM 1A, “Risk Factors” of our Annual Report on Form 10-K for the year ended December 31, 2023. You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none of our directors or executive officers adopted or terminated any “Rule 10b5-1 trading arrangement” or “non-Rule 10b5-1 trading arrangement” (as each term is defined in Item 408(a) of Registration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Articles of Incorporation of OptimizeRx Corporation (the “Company”) Incorporated by reference to Exhibit 3.1 to the Company’s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Registration Statement on Form S-1 (Registration No. 333-155280) filed on November 12, 2008.</w:t>
              </w:r>
            </w:hyperlink>
          </w:p>
        </w:tc>
        <w:tc>
          <w:tcPr>
            <w:tcW w:w="310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Certificate of Correction, dated April 30, 2018. Incorporated by reference to Exhibit 3.5 to the Company’s Annual Report on Form 10-K for</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the year ended December 31, 2018.</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Third Amended and Restated Bylaws of the Company. Incorporated by reference to Exhibit 3.3 to the Company’s Annual Report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10-K for the year ended December 31,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302 of the Sarbanes-Oxley Act</w:t>
            </w:r>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302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4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 906</w:t>
            </w:r>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3560" w:firstLine="8"/>
        <w:spacing w:after="0" w:line="511" w:lineRule="auto"/>
        <w:tabs>
          <w:tab w:leader="none" w:pos="11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Provided herewith.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William J. Febbo</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b w:val="1"/>
          <w:b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b w:val="1"/>
          <w:bCs w:val="1"/>
          <w:color w:val="auto"/>
        </w:rPr>
        <w:t>Chief Financial Officer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Chief Operations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OptimizeRx 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William J. Febbo</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Stelmakh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OptimizeRx 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OptimizeRx Corp (the “Company”) on Form 10-Q for the quarter ended June 30, 2024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Willian J Febbo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41" Type="http://schemas.openxmlformats.org/officeDocument/2006/relationships/hyperlink" Target="https://www.sec.gov/Archives/edgar/data/1448431/000136110608000414/optimizerx_s1-ex0301.htm" TargetMode="External"/><Relationship Id="rId42" Type="http://schemas.openxmlformats.org/officeDocument/2006/relationships/hyperlink" Target="https://www.sec.gov/Archives/edgar/data/1448431/000121390019003962/f10k2018ex3-5_optimizerx.htm" TargetMode="External"/><Relationship Id="rId43" Type="http://schemas.openxmlformats.org/officeDocument/2006/relationships/hyperlink" Target="https://www.sec.gov/Archives/edgar/data/1448431/000121390023019233/f10k2022ex3-3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2024-08-15T15:38:01Z</dcterms:created>
  <dcterms:modified xsi:type="dcterms:W3CDTF">2024-08-15T15:38:01Z</dcterms:modified>
</cp:coreProperties>
</file>