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3840" w:right="2400" w:hanging="1424"/>
        <w:spacing w:after="0" w:line="482" w:lineRule="auto"/>
        <w:tabs>
          <w:tab w:leader="none" w:pos="261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September 30, 2017</w:t>
      </w:r>
    </w:p>
    <w:p>
      <w:pPr>
        <w:spacing w:after="0" w:line="32" w:lineRule="exact"/>
        <w:rPr>
          <w:rFonts w:ascii="MS PGothic" w:cs="MS PGothic" w:eastAsia="MS PGothic" w:hAnsi="MS PGothic"/>
          <w:sz w:val="18"/>
          <w:szCs w:val="18"/>
          <w:color w:val="auto"/>
        </w:rPr>
      </w:pPr>
    </w:p>
    <w:p>
      <w:pPr>
        <w:ind w:left="3580" w:right="2680" w:hanging="893"/>
        <w:spacing w:after="0" w:line="528" w:lineRule="auto"/>
        <w:tabs>
          <w:tab w:leader="none" w:pos="2887" w:val="left"/>
        </w:tabs>
        <w:numPr>
          <w:ilvl w:val="1"/>
          <w:numId w:val="1"/>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13 or 15(d) of the Securities Exchange Act of 1934 For the transition period from __________ to __________</w:t>
      </w:r>
    </w:p>
    <w:p>
      <w:pPr>
        <w:ind w:left="4320"/>
        <w:spacing w:after="0"/>
        <w:rPr>
          <w:rFonts w:ascii="MS PGothic" w:cs="MS PGothic" w:eastAsia="MS PGothic" w:hAnsi="MS PGothic"/>
          <w:sz w:val="17"/>
          <w:szCs w:val="17"/>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000-53605</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OptimizeRx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jc w:val="center"/>
              <w:ind w:left="1450"/>
              <w:spacing w:after="0"/>
              <w:rPr>
                <w:sz w:val="20"/>
                <w:szCs w:val="20"/>
                <w:color w:val="auto"/>
              </w:rPr>
            </w:pPr>
            <w:r>
              <w:rPr>
                <w:rFonts w:ascii="Arial" w:cs="Arial" w:eastAsia="Arial" w:hAnsi="Arial"/>
                <w:sz w:val="18"/>
                <w:szCs w:val="18"/>
                <w:b w:val="1"/>
                <w:bCs w:val="1"/>
                <w:color w:val="auto"/>
                <w:w w:val="90"/>
              </w:rPr>
              <w:t>Nevada</w:t>
            </w:r>
          </w:p>
        </w:tc>
        <w:tc>
          <w:tcPr>
            <w:tcW w:w="7340" w:type="dxa"/>
            <w:vAlign w:val="bottom"/>
            <w:gridSpan w:val="7"/>
          </w:tcPr>
          <w:p>
            <w:pPr>
              <w:jc w:val="center"/>
              <w:ind w:left="165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4080" w:type="dxa"/>
            <w:vAlign w:val="bottom"/>
            <w:tcBorders>
              <w:top w:val="single" w:sz="8" w:color="auto"/>
            </w:tcBorders>
          </w:tcPr>
          <w:p>
            <w:pPr>
              <w:jc w:val="center"/>
              <w:ind w:left="1450"/>
              <w:spacing w:after="0" w:line="201" w:lineRule="exact"/>
              <w:rPr>
                <w:sz w:val="20"/>
                <w:szCs w:val="20"/>
                <w:color w:val="auto"/>
              </w:rPr>
            </w:pPr>
            <w:r>
              <w:rPr>
                <w:rFonts w:ascii="Arial" w:cs="Arial" w:eastAsia="Arial" w:hAnsi="Arial"/>
                <w:sz w:val="18"/>
                <w:szCs w:val="18"/>
                <w:color w:val="auto"/>
                <w:w w:val="93"/>
              </w:rPr>
              <w:t>(State or other jurisdiction of</w:t>
            </w: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jc w:val="center"/>
              <w:ind w:right="5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080" w:type="dxa"/>
            <w:vAlign w:val="bottom"/>
          </w:tcPr>
          <w:p>
            <w:pPr>
              <w:jc w:val="center"/>
              <w:ind w:left="1450"/>
              <w:spacing w:after="0"/>
              <w:rPr>
                <w:sz w:val="20"/>
                <w:szCs w:val="20"/>
                <w:color w:val="auto"/>
              </w:rPr>
            </w:pPr>
            <w:r>
              <w:rPr>
                <w:rFonts w:ascii="Arial" w:cs="Arial" w:eastAsia="Arial" w:hAnsi="Arial"/>
                <w:sz w:val="18"/>
                <w:szCs w:val="18"/>
                <w:color w:val="auto"/>
                <w:w w:val="93"/>
              </w:rPr>
              <w:t>incorporation or organization)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00" w:type="dxa"/>
            <w:vAlign w:val="bottom"/>
          </w:tcPr>
          <w:p>
            <w:pPr>
              <w:jc w:val="center"/>
              <w:ind w:right="5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080" w:type="dxa"/>
            <w:vAlign w:val="bottom"/>
          </w:tcPr>
          <w:p>
            <w:pPr>
              <w:spacing w:after="0"/>
              <w:rPr>
                <w:sz w:val="24"/>
                <w:szCs w:val="24"/>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b w:val="1"/>
                <w:bCs w:val="1"/>
                <w:color w:val="auto"/>
                <w:w w:val="91"/>
              </w:rPr>
              <w:t>400 Water Street, Suite 200</w:t>
            </w:r>
          </w:p>
        </w:tc>
      </w:tr>
      <w:tr>
        <w:trPr>
          <w:trHeight w:val="194"/>
        </w:trPr>
        <w:tc>
          <w:tcPr>
            <w:tcW w:w="4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520" w:type="dxa"/>
            <w:vAlign w:val="bottom"/>
            <w:gridSpan w:val="6"/>
          </w:tcPr>
          <w:p>
            <w:pPr>
              <w:jc w:val="center"/>
              <w:ind w:right="4810"/>
              <w:spacing w:after="0" w:line="194" w:lineRule="exact"/>
              <w:rPr>
                <w:sz w:val="20"/>
                <w:szCs w:val="20"/>
                <w:color w:val="auto"/>
              </w:rPr>
            </w:pPr>
            <w:r>
              <w:rPr>
                <w:rFonts w:ascii="Arial" w:cs="Arial" w:eastAsia="Arial" w:hAnsi="Arial"/>
                <w:sz w:val="18"/>
                <w:szCs w:val="18"/>
                <w:b w:val="1"/>
                <w:bCs w:val="1"/>
                <w:color w:val="auto"/>
                <w:w w:val="90"/>
              </w:rPr>
              <w:t>Rochester, MI, 48307</w:t>
            </w:r>
          </w:p>
        </w:tc>
      </w:tr>
      <w:tr>
        <w:trPr>
          <w:trHeight w:val="20"/>
        </w:trPr>
        <w:tc>
          <w:tcPr>
            <w:tcW w:w="4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92"/>
              </w:rPr>
              <w:t>(Address of principal executive offices)</w:t>
            </w:r>
          </w:p>
        </w:tc>
      </w:tr>
      <w:tr>
        <w:trPr>
          <w:trHeight w:val="392"/>
        </w:trPr>
        <w:tc>
          <w:tcPr>
            <w:tcW w:w="40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70"/>
              <w:spacing w:after="0"/>
              <w:rPr>
                <w:sz w:val="20"/>
                <w:szCs w:val="20"/>
                <w:color w:val="auto"/>
              </w:rPr>
            </w:pPr>
            <w:r>
              <w:rPr>
                <w:rFonts w:ascii="Arial" w:cs="Arial" w:eastAsia="Arial" w:hAnsi="Arial"/>
                <w:sz w:val="18"/>
                <w:szCs w:val="18"/>
                <w:color w:val="auto"/>
                <w:w w:val="90"/>
              </w:rPr>
              <w:t>(Registrant’s telephone number)</w:t>
            </w:r>
          </w:p>
        </w:tc>
      </w:tr>
    </w:tbl>
    <w:p>
      <w:pPr>
        <w:spacing w:after="0" w:line="202"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00" w:hanging="192"/>
        <w:spacing w:after="0" w:line="207" w:lineRule="exact"/>
        <w:tabs>
          <w:tab w:leader="none" w:pos="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w:t>
      </w:r>
    </w:p>
    <w:p>
      <w:pPr>
        <w:spacing w:after="0" w:line="138"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40"/>
              <w:spacing w:after="0"/>
              <w:rPr>
                <w:sz w:val="20"/>
                <w:szCs w:val="20"/>
                <w:color w:val="auto"/>
              </w:rPr>
            </w:pPr>
            <w:r>
              <w:rPr>
                <w:rFonts w:ascii="Arial" w:cs="Arial" w:eastAsia="Arial" w:hAnsi="Arial"/>
                <w:sz w:val="18"/>
                <w:szCs w:val="18"/>
                <w:color w:val="auto"/>
              </w:rPr>
              <w:t>Large accelerated filer</w:t>
            </w:r>
          </w:p>
        </w:tc>
        <w:tc>
          <w:tcPr>
            <w:tcW w:w="144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c>
          <w:tcPr>
            <w:tcW w:w="2120" w:type="dxa"/>
            <w:vAlign w:val="bottom"/>
          </w:tcPr>
          <w:p>
            <w:pPr>
              <w:ind w:left="140"/>
              <w:spacing w:after="0"/>
              <w:rPr>
                <w:sz w:val="20"/>
                <w:szCs w:val="20"/>
                <w:color w:val="auto"/>
              </w:rPr>
            </w:pPr>
            <w:r>
              <w:rPr>
                <w:rFonts w:ascii="Arial" w:cs="Arial" w:eastAsia="Arial" w:hAnsi="Arial"/>
                <w:sz w:val="18"/>
                <w:szCs w:val="18"/>
                <w:color w:val="auto"/>
              </w:rPr>
              <w:t>Accelerated filer</w:t>
            </w:r>
          </w:p>
        </w:tc>
      </w:tr>
      <w:tr>
        <w:trPr>
          <w:trHeight w:val="216"/>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40"/>
              <w:spacing w:after="0"/>
              <w:rPr>
                <w:sz w:val="20"/>
                <w:szCs w:val="20"/>
                <w:color w:val="auto"/>
              </w:rPr>
            </w:pPr>
            <w:r>
              <w:rPr>
                <w:rFonts w:ascii="Arial" w:cs="Arial" w:eastAsia="Arial" w:hAnsi="Arial"/>
                <w:sz w:val="18"/>
                <w:szCs w:val="18"/>
                <w:color w:val="auto"/>
              </w:rPr>
              <w:t>Non-accelerated filer</w:t>
            </w:r>
          </w:p>
        </w:tc>
        <w:tc>
          <w:tcPr>
            <w:tcW w:w="144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c>
          <w:tcPr>
            <w:tcW w:w="2120" w:type="dxa"/>
            <w:vAlign w:val="bottom"/>
          </w:tcPr>
          <w:p>
            <w:pPr>
              <w:ind w:left="140"/>
              <w:spacing w:after="0"/>
              <w:rPr>
                <w:sz w:val="20"/>
                <w:szCs w:val="20"/>
                <w:color w:val="auto"/>
              </w:rPr>
            </w:pPr>
            <w:r>
              <w:rPr>
                <w:rFonts w:ascii="Arial" w:cs="Arial" w:eastAsia="Arial" w:hAnsi="Arial"/>
                <w:sz w:val="18"/>
                <w:szCs w:val="18"/>
                <w:color w:val="auto"/>
                <w:w w:val="91"/>
              </w:rPr>
              <w:t>Smaller reporting company</w:t>
            </w:r>
          </w:p>
        </w:tc>
      </w:tr>
      <w:tr>
        <w:trPr>
          <w:trHeight w:val="283"/>
        </w:trPr>
        <w:tc>
          <w:tcPr>
            <w:tcW w:w="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4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c>
          <w:tcPr>
            <w:tcW w:w="2120" w:type="dxa"/>
            <w:vAlign w:val="bottom"/>
          </w:tcPr>
          <w:p>
            <w:pPr>
              <w:ind w:left="140"/>
              <w:spacing w:after="0"/>
              <w:rPr>
                <w:sz w:val="20"/>
                <w:szCs w:val="20"/>
                <w:color w:val="auto"/>
              </w:rPr>
            </w:pPr>
            <w:r>
              <w:rPr>
                <w:rFonts w:ascii="Arial" w:cs="Arial" w:eastAsia="Arial" w:hAnsi="Arial"/>
                <w:sz w:val="18"/>
                <w:szCs w:val="18"/>
                <w:color w:val="auto"/>
                <w:w w:val="91"/>
              </w:rPr>
              <w:t>Emerging growth company</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29,275,117 common shares as of October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740525" cy="2624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0525" cy="26244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4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40" w:type="dxa"/>
            <w:vAlign w:val="bottom"/>
          </w:tcPr>
          <w:p>
            <w:pPr>
              <w:ind w:left="3420"/>
              <w:spacing w:after="0"/>
              <w:rPr>
                <w:sz w:val="20"/>
                <w:szCs w:val="20"/>
                <w:color w:val="auto"/>
              </w:rPr>
            </w:pPr>
            <w:r>
              <w:rPr>
                <w:rFonts w:ascii="Arial" w:cs="Arial" w:eastAsia="Arial" w:hAnsi="Arial"/>
                <w:sz w:val="18"/>
                <w:szCs w:val="18"/>
                <w:b w:val="1"/>
                <w:bCs w:val="1"/>
                <w:color w:val="auto"/>
              </w:rPr>
              <w:t>PART I – FINANCIAL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Statements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40" w:type="dxa"/>
            <w:vAlign w:val="bottom"/>
          </w:tcPr>
          <w:p>
            <w:pPr>
              <w:ind w:left="3560"/>
              <w:spacing w:after="0"/>
              <w:rPr>
                <w:sz w:val="20"/>
                <w:szCs w:val="20"/>
                <w:color w:val="auto"/>
              </w:rPr>
            </w:pPr>
            <w:r>
              <w:rPr>
                <w:rFonts w:ascii="Arial" w:cs="Arial" w:eastAsia="Arial" w:hAnsi="Arial"/>
                <w:sz w:val="18"/>
                <w:szCs w:val="18"/>
                <w:b w:val="1"/>
                <w:bCs w:val="1"/>
                <w:color w:val="auto"/>
              </w:rPr>
              <w:t>PART II – OTHER INFORMATION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 Factors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Defaults Upon Senior Securities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140"/>
              <w:spacing w:after="0"/>
              <w:rPr>
                <w:sz w:val="20"/>
                <w:szCs w:val="20"/>
                <w:color w:val="auto"/>
              </w:rPr>
            </w:pPr>
            <w:r>
              <w:rPr>
                <w:rFonts w:ascii="Arial" w:cs="Arial" w:eastAsia="Arial" w:hAnsi="Arial"/>
                <w:sz w:val="18"/>
                <w:szCs w:val="18"/>
                <w:color w:val="auto"/>
              </w:rPr>
              <w:t>Mine Safety Disclosure</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Information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9840" w:type="dxa"/>
            <w:vAlign w:val="bottom"/>
          </w:tcPr>
          <w:p>
            <w:pPr>
              <w:ind w:left="140"/>
              <w:spacing w:after="0"/>
              <w:rPr>
                <w:sz w:val="20"/>
                <w:szCs w:val="20"/>
                <w:color w:val="auto"/>
              </w:rPr>
            </w:pPr>
            <w:r>
              <w:rPr>
                <w:rFonts w:ascii="Arial" w:cs="Arial" w:eastAsia="Arial" w:hAnsi="Arial"/>
                <w:sz w:val="18"/>
                <w:szCs w:val="18"/>
                <w:color w:val="auto"/>
              </w:rPr>
              <w:t>Exhibits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425"/>
        </w:trPr>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6745605</wp:posOffset>
            </wp:positionH>
            <wp:positionV relativeFrom="paragraph">
              <wp:posOffset>-2632075</wp:posOffset>
            </wp:positionV>
            <wp:extent cx="506095" cy="2341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23412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ind w:right="1280"/>
        <w:spacing w:after="0" w:line="259" w:lineRule="auto"/>
        <w:rPr>
          <w:sz w:val="20"/>
          <w:szCs w:val="20"/>
          <w:color w:val="auto"/>
        </w:rPr>
      </w:pPr>
      <w:r>
        <w:rPr>
          <w:rFonts w:ascii="Arial" w:cs="Arial" w:eastAsia="Arial" w:hAnsi="Arial"/>
          <w:sz w:val="18"/>
          <w:szCs w:val="18"/>
          <w:color w:val="auto"/>
        </w:rPr>
        <w:t>F-1 Condensed Consolidated Balance Sheets as of September 30, 2017 (unaudited) and December 31, 2016; F-2 Condensed Consolidated Statements of Operations for the three and nine months ended September 30, 2017 and 2016 (unaudited); F-3 Condensed Consolidated Statements of Cash Flow for the nine months ended September 30, 2017 and 2016 (unaudited); F-4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2466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September 30, 2017 are not necessarily indicative of the results that can be expected for the full year.</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3" w:name="page4"/>
    <w:bookmarkEnd w:id="3"/>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AS OF SEPTEMBER 30, 2017 AND DECEMBER 31,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60" w:type="dxa"/>
            <w:vAlign w:val="bottom"/>
            <w:vMerge w:val="restart"/>
          </w:tcPr>
          <w:p>
            <w:pPr>
              <w:ind w:left="4020"/>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4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5,013,128</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7,034,647</w:t>
            </w: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2,704,752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3,060,396</w:t>
            </w:r>
          </w:p>
        </w:tc>
        <w:tc>
          <w:tcPr>
            <w:tcW w:w="0" w:type="dxa"/>
            <w:vAlign w:val="bottom"/>
          </w:tcPr>
          <w:p>
            <w:pPr>
              <w:spacing w:after="0"/>
              <w:rPr>
                <w:sz w:val="1"/>
                <w:szCs w:val="1"/>
                <w:color w:val="auto"/>
              </w:rPr>
            </w:pPr>
          </w:p>
        </w:tc>
      </w:tr>
      <w:tr>
        <w:trPr>
          <w:trHeight w:val="25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246,806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80,820</w:t>
            </w:r>
          </w:p>
        </w:tc>
        <w:tc>
          <w:tcPr>
            <w:tcW w:w="0" w:type="dxa"/>
            <w:vAlign w:val="bottom"/>
          </w:tcPr>
          <w:p>
            <w:pPr>
              <w:spacing w:after="0"/>
              <w:rPr>
                <w:sz w:val="1"/>
                <w:szCs w:val="1"/>
                <w:color w:val="auto"/>
              </w:rPr>
            </w:pPr>
          </w:p>
        </w:tc>
      </w:tr>
      <w:tr>
        <w:trPr>
          <w:trHeight w:val="210"/>
        </w:trPr>
        <w:tc>
          <w:tcPr>
            <w:tcW w:w="84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7,964,686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10,175,863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180,459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173,649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rights,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721,476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772,394</w:t>
            </w: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Web development and other intangible costs,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942,972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351,804</w:t>
            </w:r>
          </w:p>
        </w:tc>
        <w:tc>
          <w:tcPr>
            <w:tcW w:w="0" w:type="dxa"/>
            <w:vAlign w:val="bottom"/>
          </w:tcPr>
          <w:p>
            <w:pPr>
              <w:spacing w:after="0"/>
              <w:rPr>
                <w:sz w:val="1"/>
                <w:szCs w:val="1"/>
                <w:color w:val="auto"/>
              </w:rPr>
            </w:pPr>
          </w:p>
        </w:tc>
      </w:tr>
      <w:tr>
        <w:trPr>
          <w:trHeight w:val="25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deposit</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0"/>
        </w:trPr>
        <w:tc>
          <w:tcPr>
            <w:tcW w:w="84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3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1,669,497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1,129,247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9,814,642</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11,478,759</w:t>
            </w:r>
          </w:p>
        </w:tc>
        <w:tc>
          <w:tcPr>
            <w:tcW w:w="0" w:type="dxa"/>
            <w:vAlign w:val="bottom"/>
          </w:tcPr>
          <w:p>
            <w:pPr>
              <w:spacing w:after="0"/>
              <w:rPr>
                <w:sz w:val="1"/>
                <w:szCs w:val="1"/>
                <w:color w:val="auto"/>
              </w:rPr>
            </w:pPr>
          </w:p>
        </w:tc>
      </w:tr>
      <w:tr>
        <w:trPr>
          <w:trHeight w:val="21"/>
        </w:trPr>
        <w:tc>
          <w:tcPr>
            <w:tcW w:w="8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720,758</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369,214</w:t>
            </w: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434,559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288,268</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1,877,991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2,622,517</w:t>
            </w:r>
          </w:p>
        </w:tc>
        <w:tc>
          <w:tcPr>
            <w:tcW w:w="0" w:type="dxa"/>
            <w:vAlign w:val="bottom"/>
          </w:tcPr>
          <w:p>
            <w:pPr>
              <w:spacing w:after="0"/>
              <w:rPr>
                <w:sz w:val="1"/>
                <w:szCs w:val="1"/>
                <w:color w:val="auto"/>
              </w:rPr>
            </w:pPr>
          </w:p>
        </w:tc>
      </w:tr>
      <w:tr>
        <w:trPr>
          <w:trHeight w:val="237"/>
        </w:trPr>
        <w:tc>
          <w:tcPr>
            <w:tcW w:w="84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729,092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386,581</w:t>
            </w:r>
          </w:p>
        </w:tc>
        <w:tc>
          <w:tcPr>
            <w:tcW w:w="0" w:type="dxa"/>
            <w:vAlign w:val="bottom"/>
          </w:tcPr>
          <w:p>
            <w:pPr>
              <w:spacing w:after="0"/>
              <w:rPr>
                <w:sz w:val="1"/>
                <w:szCs w:val="1"/>
                <w:color w:val="auto"/>
              </w:rPr>
            </w:pPr>
          </w:p>
        </w:tc>
      </w:tr>
      <w:tr>
        <w:trPr>
          <w:trHeight w:val="236"/>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3,762,400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3,666,580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6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10,000,000 shares authorized, no shares issued and outstanding</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6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$.001 par value, 500,000,000 shares authorized, 29,275,117 and 29,718,867 shares issued and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340"/>
              <w:spacing w:after="0"/>
              <w:rPr>
                <w:sz w:val="20"/>
                <w:szCs w:val="20"/>
                <w:color w:val="auto"/>
              </w:rPr>
            </w:pPr>
            <w:r>
              <w:rPr>
                <w:rFonts w:ascii="Arial" w:cs="Arial" w:eastAsia="Arial" w:hAnsi="Arial"/>
                <w:sz w:val="18"/>
                <w:szCs w:val="18"/>
                <w:color w:val="auto"/>
              </w:rPr>
              <w:t>outstanding, respectively</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29,275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29,719</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warrants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2,294,416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2,294,416</w:t>
            </w: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33,854,614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33,747,137</w:t>
            </w:r>
          </w:p>
        </w:tc>
        <w:tc>
          <w:tcPr>
            <w:tcW w:w="0" w:type="dxa"/>
            <w:vAlign w:val="bottom"/>
          </w:tcPr>
          <w:p>
            <w:pPr>
              <w:spacing w:after="0"/>
              <w:rPr>
                <w:sz w:val="1"/>
                <w:szCs w:val="1"/>
                <w:color w:val="auto"/>
              </w:rPr>
            </w:pPr>
          </w:p>
        </w:tc>
      </w:tr>
      <w:tr>
        <w:trPr>
          <w:trHeight w:val="25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(30,126,063)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(28,259,093)</w:t>
            </w:r>
          </w:p>
        </w:tc>
        <w:tc>
          <w:tcPr>
            <w:tcW w:w="0" w:type="dxa"/>
            <w:vAlign w:val="bottom"/>
          </w:tcPr>
          <w:p>
            <w:pPr>
              <w:spacing w:after="0"/>
              <w:rPr>
                <w:sz w:val="1"/>
                <w:szCs w:val="1"/>
                <w:color w:val="auto"/>
              </w:rPr>
            </w:pPr>
          </w:p>
        </w:tc>
      </w:tr>
      <w:tr>
        <w:trPr>
          <w:trHeight w:val="210"/>
        </w:trPr>
        <w:tc>
          <w:tcPr>
            <w:tcW w:w="84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6,052,242</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7,812,179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9,814,642</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11,478,759</w:t>
            </w:r>
          </w:p>
        </w:tc>
        <w:tc>
          <w:tcPr>
            <w:tcW w:w="0" w:type="dxa"/>
            <w:vAlign w:val="bottom"/>
          </w:tcPr>
          <w:p>
            <w:pPr>
              <w:spacing w:after="0"/>
              <w:rPr>
                <w:sz w:val="1"/>
                <w:szCs w:val="1"/>
                <w:color w:val="auto"/>
              </w:rPr>
            </w:pPr>
          </w:p>
        </w:tc>
      </w:tr>
      <w:tr>
        <w:trPr>
          <w:trHeight w:val="21"/>
        </w:trPr>
        <w:tc>
          <w:tcPr>
            <w:tcW w:w="8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-4853305</wp:posOffset>
            </wp:positionV>
            <wp:extent cx="7246620" cy="4827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1"/>
              </w:rPr>
              <w:t>For the Three Months Ended</w:t>
            </w:r>
          </w:p>
        </w:tc>
        <w:tc>
          <w:tcPr>
            <w:tcW w:w="140" w:type="dxa"/>
            <w:vAlign w:val="bottom"/>
          </w:tcPr>
          <w:p>
            <w:pPr>
              <w:spacing w:after="0"/>
              <w:rPr>
                <w:sz w:val="19"/>
                <w:szCs w:val="19"/>
                <w:color w:val="auto"/>
              </w:rPr>
            </w:pPr>
          </w:p>
        </w:tc>
        <w:tc>
          <w:tcPr>
            <w:tcW w:w="24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3,102,607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1,786,137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8,120,502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5,458,944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w:t>
            </w: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1,703,676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723,396</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4,690,943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2,539,021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1,398,931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1,062,741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3,429,559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2,919,923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2,028,589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1,311,959</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5,320,220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4,133,505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(629,658)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(249,218)</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(1,890,661)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(1,213,582)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6,872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6,634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23,691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27,292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INCOME (EXPENSE)</w:t>
            </w: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6,634</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23,691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(622,786)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(242,584)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(1,866,970)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(1,186,453)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(622,786</w:t>
            </w:r>
            <w:r>
              <w:rPr>
                <w:rFonts w:ascii="Arial" w:cs="Arial" w:eastAsia="Arial" w:hAnsi="Arial"/>
                <w:sz w:val="29"/>
                <w:szCs w:val="29"/>
                <w:color w:val="auto"/>
                <w:vertAlign w:val="superscript"/>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6"/>
                <w:szCs w:val="16"/>
                <w:color w:val="auto"/>
              </w:rPr>
              <w:t>(242,584</w:t>
            </w:r>
            <w:r>
              <w:rPr>
                <w:rFonts w:ascii="Arial" w:cs="Arial" w:eastAsia="Arial" w:hAnsi="Arial"/>
                <w:sz w:val="29"/>
                <w:szCs w:val="29"/>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(1,866,970</w:t>
            </w:r>
            <w:r>
              <w:rPr>
                <w:rFonts w:ascii="Arial" w:cs="Arial" w:eastAsia="Arial" w:hAnsi="Arial"/>
                <w:sz w:val="29"/>
                <w:szCs w:val="29"/>
                <w:color w:val="auto"/>
                <w:vertAlign w:val="superscript"/>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(1,186,453</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AVERGE NUMBER OF SHARES OUTSTANDING</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29,256,367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29,433,846</w:t>
            </w: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29,517,975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29,374,319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LOSS PER SHARE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(0.02</w:t>
            </w:r>
            <w:r>
              <w:rPr>
                <w:rFonts w:ascii="Arial" w:cs="Arial" w:eastAsia="Arial" w:hAnsi="Arial"/>
                <w:sz w:val="29"/>
                <w:szCs w:val="29"/>
                <w:color w:val="auto"/>
                <w:vertAlign w:val="superscript"/>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(0.06</w:t>
            </w:r>
            <w:r>
              <w:rPr>
                <w:rFonts w:ascii="Arial" w:cs="Arial" w:eastAsia="Arial" w:hAnsi="Arial"/>
                <w:sz w:val="29"/>
                <w:szCs w:val="29"/>
                <w:color w:val="auto"/>
                <w:vertAlign w:val="superscript"/>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(0.04</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-4664710</wp:posOffset>
            </wp:positionV>
            <wp:extent cx="7246620" cy="46393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2017 AND 2016</w:t>
      </w:r>
    </w:p>
    <w:p>
      <w:pPr>
        <w:spacing w:after="0" w:line="20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For the 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591175" cy="5008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91175" cy="5008245"/>
                    </a:xfrm>
                    <a:prstGeom prst="rect">
                      <a:avLst/>
                    </a:prstGeom>
                    <a:noFill/>
                  </pic:spPr>
                </pic:pic>
              </a:graphicData>
            </a:graphic>
          </wp:anchor>
        </w:drawing>
      </w:r>
    </w:p>
    <w:p>
      <w:pPr>
        <w:spacing w:after="0" w:line="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for the period</w:t>
            </w:r>
          </w:p>
        </w:tc>
        <w:tc>
          <w:tcPr>
            <w:tcW w:w="19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(1,866,970)</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(1,186,453)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349,418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Arial" w:cs="Arial" w:eastAsia="Arial" w:hAnsi="Arial"/>
                <w:sz w:val="18"/>
                <w:szCs w:val="18"/>
                <w:color w:val="auto"/>
              </w:rPr>
              <w:t>Stock based compensation</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497,033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435,168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355,644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523,107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(165,986)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351,544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(383,794)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share payable</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(744,526)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146,291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342,511</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539,105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17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(735,041</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(50,521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Patent rights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(7,268)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Web development and other intangible costs</w:t>
            </w:r>
          </w:p>
        </w:tc>
        <w:tc>
          <w:tcPr>
            <w:tcW w:w="1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(867,168)</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(132,306)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7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(896,478</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(224,991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Repurchase of common stock and stock payable</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(390,000)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(806,915)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7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(357,415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line="203" w:lineRule="exact"/>
              <w:rPr>
                <w:sz w:val="20"/>
                <w:szCs w:val="20"/>
                <w:color w:val="auto"/>
              </w:rPr>
            </w:pPr>
            <w:r>
              <w:rPr>
                <w:rFonts w:ascii="Arial" w:cs="Arial" w:eastAsia="Arial" w:hAnsi="Arial"/>
                <w:sz w:val="18"/>
                <w:szCs w:val="18"/>
                <w:color w:val="auto"/>
              </w:rPr>
              <w:t>NET DECREASE IN CASH AND CASH EQUIVALENTS</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w w:val="97"/>
              </w:rPr>
              <w:t>(2,021,519)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(632,927)</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1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7,034,647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8,207,565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CASH AND CASH EQUIVALENTS - END OF PERIOD</w:t>
            </w:r>
          </w:p>
        </w:tc>
        <w:tc>
          <w:tcPr>
            <w:tcW w:w="1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080" w:type="dxa"/>
            <w:vAlign w:val="bottom"/>
            <w:vMerge w:val="continue"/>
          </w:tcPr>
          <w:p>
            <w:pPr>
              <w:spacing w:after="0"/>
              <w:rPr>
                <w:sz w:val="24"/>
                <w:szCs w:val="24"/>
                <w:color w:val="auto"/>
              </w:rPr>
            </w:pPr>
          </w:p>
        </w:tc>
        <w:tc>
          <w:tcPr>
            <w:tcW w:w="19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5,013,128</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7,574,638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9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Cash paid for income taxes</w:t>
            </w:r>
          </w:p>
        </w:tc>
        <w:tc>
          <w:tcPr>
            <w:tcW w:w="1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-4587240</wp:posOffset>
            </wp:positionV>
            <wp:extent cx="1655445" cy="4562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5445" cy="456247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 leading digital health aggregator of pharmaceutical sponsored services in the Electronic Health Records (EHR) space. Our objective is to leverage our proprietary technology to provide on demand savings and clinical messaging within physician and patient web based platforms, including EHR, e-prescribing platforms, pharmacies and Patient Portals. We have matured as a technology solutions provider through our direct to physician solutions, which allow physicians to automatically display and distribute sample vouchers and/or co-pay coupons electronically within the ePrescription platform to pharmacies on behalf of their patients. The OptimizeRx solution is integrated into the ePrescribing or EHR applications, but can also be accessed on a mobile device as well as an application on a prescriber’s desktop.</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consolidated financial statements for the three and nine months ended September 30, 2017 and 2016, have been prepared by us without audit pursuant to the rules and regulations of the Securities and Exchange Commission (“SEC”). In the opinion of management, all adjustments necessary to present fairly our financial position, results of operations, and cash flows as of September 30, 2017 and 2016, and for the periods then ended, have been made. Those adjustments consist of normal and recurring adjustments. The consolidated balance sheet as of December 31, 2016, has been derived from the audited consolidated balance sheet as of that date.</w:t>
      </w:r>
    </w:p>
    <w:p>
      <w:pPr>
        <w:spacing w:after="0" w:line="18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2016, as filed with the SEC.</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results of operations for the three and nine months ended September 30, 2017, are not necessarily indicative of the results to be expected for the full year. Certain reclassifications have been made in our consolidated financial statements for the prior periods to conform to the presentation of our consolidated financial statements for the current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Director Compensation plan calls for the issuance of 6,250 shares of common stock per quarter to each Independent Director. In connection with this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plan, we issued 18,750 shares in each of the quarters ended March 31, 2017, June 30, 2017 and September 30, 2017, valued at $15,375, $19,312,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$23,250, respectively. In connection with the same plan, we issued 12,500 shares in each of the quarters ended March 31, 2016, June 30, 2016, and September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 2016, valued at $13,125, $14,375, and $13,750, respectively.</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described in greater detail in Note 4, related party transactions, in the quarter ended March 31, 2016, we made a one-time payment of $720,415 to our previous CEO in lieu of issuing shares owed to him from prior years. A portion of this payment, $357,415, was for 295,384 shares of common stock reflected in stock payable at December 31, 2015. We also redeemed 500,000 shares of common stock held by this same previous CEO in the quarter ended June 30, 2017 at a price of $0.78 per share for a total payment of $390,000.</w:t>
      </w:r>
    </w:p>
    <w:p>
      <w:pPr>
        <w:spacing w:after="0" w:line="1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issued 50,000 shares of common stock in the quarter ended June 30, 2016 related to shares that were previously reflected in common stock payable. In addition, we issued 69,519 shares of common stock during the nine months ended September 30, 2016 in connection with the cashless exercise of previous option grants that were approaching expiration.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issued 100,000 shares of common stock in connection with the settlement of litigation in the quarter ended June 30, 2016.</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the quarter ended September 30, 2016, we issued 384,118 shares of common stock to an unrelated party in a private transaction and received proceeds of $449,500. These proceeds were used to redeem 384,118 shares of common stock payable owed to our Senior Vice President of Sales for $449,500 in lieu of issuing the shares, which were previously reflected in stock payable.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3 – SHARE BASED PAYMENTS – OPTIONS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use the fair value method to account for stock-based compensation. We recorded $439,095 and $270,117 in compensation expense in the nine months ended September 30, 2017 and 2016, respectively, related to options issued under our stock-based incentive compensation plan. This includes expense related to options issued in prior years for which the requisite service period for those options includes the current year, options granted in the current year and options repriced in the current year. The fair value of these instruments was calculated using the Black-Scholes option pricing model. Information related to the assumptions used in this model is set forth in the table below as well as in our Annual Report on Form 10-K for the fiscal year ended December 31, 2016. As of September 30, 2017, there is $1,447,842 of unearned compensation expense through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1.47% - 1.49%</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0.86% - 1.15 %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3.5 - 5.0 years</w:t>
            </w:r>
          </w:p>
        </w:tc>
        <w:tc>
          <w:tcPr>
            <w:tcW w:w="1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67% - 78%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 - 99 %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-985520</wp:posOffset>
            </wp:positionV>
            <wp:extent cx="7246620" cy="986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861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4 – RELATED PARTY TRANSACTIONS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the quarter ended March 31, 2016, after hiring a new CEO, we paid our previous CEO $720,415 in lieu of issuing him 595,384 shares of common stock based on the 50-day average price of $1.21 per share. A total of 295,384 of these shares were due as a result of previously granted stock awards in 2014 and 2015, for which shares had not yet been issued. These shares were recorded as stock payable on the balance sheet at December 31, 2015. The remaining 300,000 shares were due in connection with the purchase of a patent from the previous CEO in 2010. These shares were recorded as accounts payable – related party on the balance sheet at December 31, 2015. The difference between the value the shares were initially recorded at in 2010 and the amount they were redeemed at in 2016 was recorded as additional paid in capital.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RELATED PARTY TRANSACTIONS (continued)</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Also, in the quarter ended June 30, 2016, we entered into a separation agreement and an 18-month consulting agreement with our previous CEO. The consulting agreement set forth the terms of the previous CEO’s continued relationship with our company. The consulting agreement began on April 1, 2016. Under the terms of the consulting agreement, he received a monthly payment of $15,000, with the potential for up to $54,000 in additional bonus payments during the term of the agreement. This agreement also called for total payments of $12,425 related to insurance benefits. The separation agreement and consulting agreement replaced and superseded all previously disclosed payments related to his severance and board fees.</w:t>
      </w:r>
    </w:p>
    <w:p>
      <w:pPr>
        <w:spacing w:after="0" w:line="15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the quarter ended June 30, 2017, we redeemed 500,000 shares of common stock owned by the previous CEO at a price of $0.78 per share for a total of $390,000 and amended the consulting agreement to terminate on July 31, 2017 instead of the original end date of September 30, 2017.</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July 2016, we redeemed 384,118 shares of common stock owed to our Senior Vice President of Sales from stock grants awarded in 2014 and 2015, but not issued at the time of the grant. We redeemed these shares for a payment of $449,500.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5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no legal proceeding.</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the quarter ended September 30, 2017, we dismissed, without prejudice, litigation that we had initiated that was pending in Missouri state court against LDM Group, LLC and PDR Network,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6 – SUBSEQUENT EVENTS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accordance with ASC 855-10, we have analyzed our operations subsequent to September 30, 2017 through the date these financial statements were issued and have determined that we do not have any material subsequent events to disclose in these financial statements.</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through October, 2017</w:t>
      </w:r>
    </w:p>
    <w:p>
      <w:pPr>
        <w:spacing w:after="0" w:line="225" w:lineRule="exact"/>
        <w:rPr>
          <w:sz w:val="20"/>
          <w:szCs w:val="20"/>
          <w:color w:val="auto"/>
        </w:rPr>
      </w:pPr>
    </w:p>
    <w:p>
      <w:pPr>
        <w:ind w:left="920" w:right="340" w:hanging="453"/>
        <w:spacing w:after="0" w:line="258"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for the first nine months of 2017 were approximately $8.1 million, a 49% increase over the same period in 2016, attributable to financial and brand messaging growth from new and returning clients.</w:t>
      </w:r>
    </w:p>
    <w:p>
      <w:pPr>
        <w:spacing w:after="0" w:line="1"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revenue for the third quarter ended September 30, 2017 were approximately $3.1 million, a 74% increase over the same quarter in 2016.</w:t>
      </w:r>
    </w:p>
    <w:p>
      <w:pPr>
        <w:spacing w:after="0" w:line="32" w:lineRule="exact"/>
        <w:rPr>
          <w:rFonts w:ascii="Arial" w:cs="Arial" w:eastAsia="Arial" w:hAnsi="Arial"/>
          <w:sz w:val="16"/>
          <w:szCs w:val="16"/>
          <w:color w:val="auto"/>
        </w:rPr>
      </w:pPr>
    </w:p>
    <w:p>
      <w:pPr>
        <w:ind w:left="920" w:right="320" w:hanging="453"/>
        <w:spacing w:after="0" w:line="250"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continue to expand our client base, brands, and agencies advising the industry on this new channel and as a result now have more master service agreements than we have had in the firm’s history.</w:t>
      </w:r>
    </w:p>
    <w:p>
      <w:pPr>
        <w:ind w:left="920" w:right="460" w:hanging="453"/>
        <w:spacing w:after="0" w:line="250"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support and scale our growth, we hired prominent health IT veteran Miriam Paramore, effective August 1, 2017, as President as well as several business development and operations people.</w:t>
      </w:r>
    </w:p>
    <w:p>
      <w:pPr>
        <w:ind w:left="920" w:right="300" w:hanging="453"/>
        <w:spacing w:after="0" w:line="261"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also announced agreements with Isalus Healthcare and Aprima Medical Software that further expanded our network and anticipate many more in the coming months.</w:t>
      </w:r>
    </w:p>
    <w:p>
      <w:pPr>
        <w:spacing w:after="0" w:line="184"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Our success in acquiring, integrating and expanding into new promotional EHR/eRx platforms continues to grow as well. We are actively engaged in discussions with several additional EHRs to integrate our technology into their platforms. We are also working extensively with our existing platforms to expand the reach of our eCoupon product to all of their providers, as well as increasing the utilization of the eCoupon functionality by their existing users.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financial messages will continue to increase over last year and brand messaging will continue to support growth in top-line revenue.</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2017 and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total revenue for the three months ended September 30, 2017 was approximately $3.1 million, an increase of 74% over the approximately $1.8 million from the same period in 2016. Our total revenue for the nine months ended September 30, 2017 was approximately $8.1 million, an increase of 49% over the approximately $5.5 million from the same period in 2016. These increased revenues resulted primarily from increases in our brand messaging products, as well as expanded distribution channels for our financial messaging. Additionally, the launch of new pharmaceutical brands, which now total over 100 between financial and brand messaging, also contributed to the increase. We expect continued quarter over quarter increases for the balance of the year, given our improved visibility within our expanding client base.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Our cost of sales, comprised primarily of revenue share expense, increased over the same period in 2016 as a result of the revenue increases. However, as a percentage of sales, cost of sales also increased as reflected in the table below. This increase in our cost of sales percentage is primarily the result of the launch and expansion of our brand messaging products, which overall have lower margins than our core financial messaging product.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16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2"/>
              </w:rPr>
              <w:t>Quarter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16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40" w:type="dxa"/>
            <w:vAlign w:val="bottom"/>
            <w:gridSpan w:val="2"/>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3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 %</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54.9%</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40.5%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Gross Margin %</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45.1%</w:t>
            </w:r>
          </w:p>
        </w:tc>
        <w:tc>
          <w:tcPr>
            <w:tcW w:w="7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59.5%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42.2%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-874395</wp:posOffset>
            </wp:positionV>
            <wp:extent cx="7246620" cy="866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66140"/>
                    </a:xfrm>
                    <a:prstGeom prst="rect">
                      <a:avLst/>
                    </a:prstGeom>
                    <a:noFill/>
                  </pic:spPr>
                </pic:pic>
              </a:graphicData>
            </a:graphic>
          </wp:anchor>
        </w:drawing>
      </w:r>
    </w:p>
    <w:p>
      <w:pPr>
        <w:spacing w:after="0" w:line="16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cost of sales percentage decreased from the first quarter of 2017 to the third quarter of 2017 as reflected in the table below and we expect this percentage to continue to gradually decrease in future quarters as we implement new channels in our core financial messaging product with lower revenue share percentages and as we update our existing agreements to share third party costs. We also expect our margins on our brand messaging product to increase as we diversify across additional channels and increase brand messaging revenues. Our goal is to achieve gross margins of 50% or greater.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4"/>
              </w:rPr>
              <w:t>Quarter Ended</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3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17"/>
                <w:szCs w:val="17"/>
                <w:color w:val="auto"/>
              </w:rPr>
            </w:pPr>
          </w:p>
        </w:tc>
        <w:tc>
          <w:tcPr>
            <w:tcW w:w="140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88"/>
              </w:rPr>
              <w:t>June 30,</w:t>
            </w: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0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Cost of Sales %</w:t>
            </w:r>
          </w:p>
        </w:tc>
        <w:tc>
          <w:tcPr>
            <w:tcW w:w="5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64.0%</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Gross Margin %</w:t>
            </w:r>
          </w:p>
        </w:tc>
        <w:tc>
          <w:tcPr>
            <w:tcW w:w="5200" w:type="dxa"/>
            <w:vAlign w:val="bottom"/>
            <w:gridSpan w:val="3"/>
          </w:tcPr>
          <w:p>
            <w:pPr>
              <w:jc w:val="right"/>
              <w:ind w:right="40"/>
              <w:spacing w:after="0"/>
              <w:rPr>
                <w:sz w:val="20"/>
                <w:szCs w:val="20"/>
                <w:color w:val="auto"/>
              </w:rPr>
            </w:pPr>
            <w:r>
              <w:rPr>
                <w:rFonts w:ascii="Arial" w:cs="Arial" w:eastAsia="Arial" w:hAnsi="Arial"/>
                <w:sz w:val="18"/>
                <w:szCs w:val="18"/>
                <w:color w:val="auto"/>
              </w:rPr>
              <w:t>36.0%</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44.0%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rPr>
              <w:t>3</w:t>
            </w: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-1294130</wp:posOffset>
            </wp:positionV>
            <wp:extent cx="7246620" cy="8661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6614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Operating expenses increased from approximately $1.3 million for the three months ended September 30, 2016 to approximately $2.0 million for the same period in 2017. Operating expenses increased from approximately $4.1 million for the nine months ended September 30, 2016 to approximately $5.3 million for the same period in 2017. The detail by major category is reflected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&amp; Benefits</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1,242,638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668,089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2,858,312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1,998,525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205,158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128,164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497,033</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325,167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81,117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219,323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425,457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Board Compensation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23,125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12,500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60,625</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13,979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79,031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80,907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Consultants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76,745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43,581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285,466</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117,418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81,374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189,646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230,507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132,473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52,640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348,418</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153,967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Maintenance</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103,172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97,211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373,778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244,623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70,203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61,572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206,124</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154,040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Travel and Entertainment</w:t>
            </w:r>
          </w:p>
        </w:tc>
        <w:tc>
          <w:tcPr>
            <w:tcW w:w="1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67,121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71,732</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201,466</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205,394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Borders>
              <w:top w:val="single" w:sz="8" w:color="CCEEFF"/>
            </w:tcBorders>
          </w:tcPr>
          <w:p>
            <w:pPr>
              <w:ind w:left="160"/>
              <w:spacing w:after="0" w:line="203" w:lineRule="exact"/>
              <w:rPr>
                <w:sz w:val="20"/>
                <w:szCs w:val="20"/>
                <w:color w:val="auto"/>
              </w:rPr>
            </w:pPr>
            <w:r>
              <w:rPr>
                <w:rFonts w:ascii="Arial" w:cs="Arial" w:eastAsia="Arial" w:hAnsi="Arial"/>
                <w:sz w:val="18"/>
                <w:szCs w:val="18"/>
                <w:color w:val="auto"/>
              </w:rPr>
              <w:t>Subtotal</w:t>
            </w:r>
          </w:p>
        </w:tc>
        <w:tc>
          <w:tcPr>
            <w:tcW w:w="19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2,028,589</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1,311,959</w:t>
            </w: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5,320,220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3,973,505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Lawsuit settlement</w:t>
            </w: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Total Operating Expense</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2,028,589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1,311,959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5,320,220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4,133,505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-2906395</wp:posOffset>
            </wp:positionV>
            <wp:extent cx="7246620" cy="2881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881630"/>
                    </a:xfrm>
                    <a:prstGeom prst="rect">
                      <a:avLst/>
                    </a:prstGeom>
                    <a:noFill/>
                  </pic:spPr>
                </pic:pic>
              </a:graphicData>
            </a:graphic>
          </wp:anchor>
        </w:drawing>
      </w:r>
    </w:p>
    <w:p>
      <w:pPr>
        <w:spacing w:after="0" w:line="18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largest increases in operating expenses related to human resource costs, including consultants. This represents approximately 86% of the increase. Since the beginning of the first quarter of 2016, we have built out the team necessary to scale the business. In addition, our rapid revenue growth has resulted in increased revenue based incentive compensation. The increase in development, maintenance, and integration costs reflects start-up costs related to the integration of new EHRs, as well as increased capacity of our technology systems. These investments are starting to show their value through accelerated revenue growth and our transition to a broader client base and scale potential. As reflected in the table below, our operating expenses are decreasing as a percentage of overall revenue.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16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2"/>
              </w:rPr>
              <w:t>Quarter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16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5940" w:type="dxa"/>
            <w:vAlign w:val="bottom"/>
            <w:gridSpan w:val="2"/>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3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w w:val="89"/>
              </w:rPr>
              <w:t>Operating expense as a percentage of revenue, excluding litigation settlements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65.4%</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73.5%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lawsuit settlement was a one-time expense incurred in 2016 that also has the effect of decreasing our professional fees in 2017 compared with 2016 as a result of the reduced litigation activities.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expect our overall operating expenses to continue at the 2017 level or above as we further implement our business plan and expand our operations to grow the business in a very dynamic and active marketplace; however, we expect operating expense as a percentage of revenue to continue to decrease.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net loss for the three months ended September 30, 2017 was approximately $623,000 as compared to a loss of approximately $243,000 during the same period in 2016. Our net loss for the nine months ended September 30, 2017 was approximately $1.9 million as compared to a loss of approximately $1.2 million during the same period in 2016. The reasons for specific components are discussed above. Overall, the increased loss for the nine months ended September 30, 2017 over 2016 is primarily explained by the increase in operating expenses intended to accelerate growth, offset in part by an increase in gross margin.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September 30, 2017, we had total current assets of approximately $8.0 million, compared with total current liabilities of approximately $3.8 million, resulting in working capital of approximately $4.2 million and a current ratio of approximately 2.1 to 1, decreased from the working capital of approximately $6.5 million and current ratio of 2.8 to 1 at December 31, 2016.</w:t>
      </w:r>
    </w:p>
    <w:p>
      <w:pPr>
        <w:spacing w:after="0" w:line="18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Our operating activities used approximately $735,000 in cash in the nine months ended September 30, 2017, compared with cash used of approximately $50,000 during the nine months ended September 30, 2016. The cash used in 2017 resulted from our net loss, partially offset by noncash expenses and working capital management.</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used approximately $896,000 in investing activities in the nine months ended September 30, 2017, compared with approximately $225,000 in the same period in 2016 as set forth in the following table.</w:t>
      </w:r>
    </w:p>
    <w:p>
      <w:pPr>
        <w:spacing w:after="0" w:line="166"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591175" cy="13379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91175" cy="1337945"/>
                    </a:xfrm>
                    <a:prstGeom prst="rect">
                      <a:avLst/>
                    </a:prstGeom>
                    <a:noFill/>
                  </pic:spPr>
                </pic:pic>
              </a:graphicData>
            </a:graphic>
          </wp:anchor>
        </w:drawing>
      </w:r>
    </w:p>
    <w:p>
      <w:pPr>
        <w:spacing w:after="0" w:line="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Patent Rights</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Allscripts Touchworks cost</w:t>
            </w: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Software and other intangible assets</w:t>
            </w:r>
          </w:p>
        </w:tc>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217,168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vMerge w:val="continue"/>
            <w:shd w:val="clear" w:color="auto" w:fill="CCEEFF"/>
          </w:tcPr>
          <w:p>
            <w:pPr>
              <w:spacing w:after="0"/>
              <w:rPr>
                <w:sz w:val="21"/>
                <w:szCs w:val="21"/>
                <w:color w:val="auto"/>
              </w:rPr>
            </w:pPr>
          </w:p>
        </w:tc>
        <w:tc>
          <w:tcPr>
            <w:tcW w:w="3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896,478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-916940</wp:posOffset>
            </wp:positionV>
            <wp:extent cx="1655445" cy="892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55445" cy="892175"/>
                    </a:xfrm>
                    <a:prstGeom prst="rect">
                      <a:avLst/>
                    </a:prstGeom>
                    <a:noFill/>
                  </pic:spPr>
                </pic:pic>
              </a:graphicData>
            </a:graphic>
          </wp:anchor>
        </w:drawing>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Allscripts Touchworks cost is for access to their Touchworks platform, exclusive access to their entire network for financial messaging, and a portion of their development costs. This cost is being amortized over the four-year period of exclusivity.</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used $390,000 in financing activities in the nine months ended September 30, 2017, compared with approximately $357,000 used in the same period in 2016. In both periods, this related to payments to our prior CEO. In 2017, we acquired and retired 500,000 shares of common stock at a price of $0.78 per share. In 2016, we made a cash payment in lieu of issuing common shares owed him that were previously reflected in common stock payable on the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2016; however, we consider our critical accounting policies to be those related to the amount of revenue to be billed, the timing of revenue recognition, calculation of revenue share expense, stock-based compensation, capitalization and related amortization of intangible assets, and impairment of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of the end of the period covered by this report (the “Evaluation Date”). Based upon this evaluation, our Chief Executive Officer and Chief Financial Officer concluded as of the Evaluation Date that our disclosure controls and procedures were effective such that the material information required to be included in our SEC reports is recorded, processed, summarized, and reported within the time periods specified in SEC rules and forms relating to the our company, including, our consolidated subsidiary, and was made known to them by others within those entities, particularly during the period when this report was being prepared.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Weaknesses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disclosed in more detail in our Form 10-K for the year ended December 31, 2016, as well as in our Form 10-Q for the quarter ended March 31, 2017, in such reports filed with the SEC, management previously identified material weaknesses related to inadequate segregation of duties and inadequate information technology reporting systems to insure accurate financial information is provided for accounting and financial reporting with respect to the requirements and application of both US GAAP and SEC guidelines.</w:t>
      </w:r>
    </w:p>
    <w:p>
      <w:pPr>
        <w:spacing w:after="0" w:line="18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During 2017, management has remedied the material weaknesses as discussed below.</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hired an additional finance person in January 2017 to address the segregation of duties issue and we have also hired a Vice President of Information Technology, around the same time, to address the technology system weaknesses. These additional personnel and the processes we have put in place have remedied the material weaknesses in our internal controls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above changes made in our internal controls over financial reporting, as defined in Rules 13a-15(f) and 15d-15(f) under the Exchange Act, during the fiscal quarter ended September 30, 2017, have materially affected, or are reasonably likely to materially affect, our internal controls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our company have been detected.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quarter ended September 30, 2017, we dismissed, without prejudice, a lawsuit that we had initiated against LDM Group, LLC and PDR Network, LLC that was pending in Missouri state court.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the Company’s Annual Report on Form 10-K for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each of March, June, and September 2017, we issued 18,750 shares of common stock to our independent directors in connection with our Director Compensation Plan.</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3"/>
              </w:rPr>
              <w:t>Item 6. Exhibits</w:t>
            </w: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1"/>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160" w:type="dxa"/>
            <w:vAlign w:val="bottom"/>
            <w:gridSpan w:val="6"/>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20" w:type="dxa"/>
            <w:vAlign w:val="bottom"/>
          </w:tcPr>
          <w:p>
            <w:pPr>
              <w:spacing w:after="0"/>
              <w:rPr>
                <w:sz w:val="15"/>
                <w:szCs w:val="15"/>
                <w:color w:val="auto"/>
              </w:rPr>
            </w:pPr>
          </w:p>
        </w:tc>
        <w:tc>
          <w:tcPr>
            <w:tcW w:w="11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5"/>
                <w:szCs w:val="15"/>
                <w:color w:val="auto"/>
              </w:rPr>
            </w:pPr>
          </w:p>
        </w:tc>
        <w:tc>
          <w:tcPr>
            <w:tcW w:w="10040" w:type="dxa"/>
            <w:vAlign w:val="bottom"/>
            <w:tcBorders>
              <w:top w:val="single" w:sz="8" w:color="auto"/>
              <w:bottom w:val="single" w:sz="8" w:color="0000EE"/>
            </w:tcBorders>
            <w:gridSpan w:val="4"/>
          </w:tcPr>
          <w:p>
            <w:pPr>
              <w:spacing w:after="0" w:line="17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Certification of Chief Executive Officer pursuant to 18 U.S.C. Section 1350, as adopted pursuant to Section 302 of the Sarbanes-Oxley Act</w:t>
              </w:r>
            </w:hyperlink>
          </w:p>
        </w:tc>
        <w:tc>
          <w:tcPr>
            <w:tcW w:w="120" w:type="dxa"/>
            <w:vAlign w:val="bottom"/>
            <w:tcBorders>
              <w:top w:val="single" w:sz="8" w:color="auto"/>
            </w:tcBorders>
            <w:gridSpan w:val="2"/>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of 2002</w:t>
              </w:r>
            </w:hyperlink>
          </w:p>
        </w:tc>
        <w:tc>
          <w:tcPr>
            <w:tcW w:w="9600" w:type="dxa"/>
            <w:vAlign w:val="bottom"/>
            <w:gridSpan w:val="5"/>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10160" w:type="dxa"/>
            <w:vAlign w:val="bottom"/>
            <w:gridSpan w:val="6"/>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Certification of Chief Financial Officer pursuant to 18 U.S.C. Section 1350, as adopted pursuant to Section 302 of the Sarbanes-Oxley Act</w:t>
              </w:r>
            </w:hyperlink>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of 2002</w:t>
              </w:r>
            </w:hyperlink>
          </w:p>
        </w:tc>
        <w:tc>
          <w:tcPr>
            <w:tcW w:w="9420" w:type="dxa"/>
            <w:vAlign w:val="bottom"/>
            <w:tcBorders>
              <w:top w:val="single" w:sz="8" w:color="0000EE"/>
            </w:tcBorders>
            <w:gridSpan w:val="2"/>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7"/>
                <w:szCs w:val="17"/>
                <w:color w:val="auto"/>
              </w:rPr>
            </w:pPr>
          </w:p>
        </w:tc>
        <w:tc>
          <w:tcPr>
            <w:tcW w:w="10160" w:type="dxa"/>
            <w:vAlign w:val="bottom"/>
            <w:gridSpan w:val="6"/>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Certification of Chief Executive Officer and Chief Financial Officer pursuant to 18 U.S.C. Section 1350, as adopted pursuant to Section 906</w:t>
              </w:r>
            </w:hyperlink>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of the Sarbanes-Oxley Act of 2002</w:t>
              </w:r>
            </w:hyperlink>
          </w:p>
        </w:tc>
        <w:tc>
          <w:tcPr>
            <w:tcW w:w="7580" w:type="dxa"/>
            <w:vAlign w:val="bottom"/>
            <w:tcBorders>
              <w:top w:val="single" w:sz="8" w:color="0000EE"/>
            </w:tcBorders>
            <w:gridSpan w:val="3"/>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w w:val="96"/>
              </w:rPr>
              <w:t>The following materials from the Company’s Quarterly Report on Form 10-Q for the quarter ended September 30, 2017 formatted in</w:t>
            </w:r>
          </w:p>
        </w:tc>
      </w:tr>
    </w:tbl>
    <w:p>
      <w:pPr>
        <w:ind w:left="1260"/>
        <w:spacing w:after="0"/>
        <w:rPr>
          <w:sz w:val="20"/>
          <w:szCs w:val="20"/>
          <w:color w:val="auto"/>
        </w:rPr>
      </w:pPr>
      <w:r>
        <w:rPr>
          <w:rFonts w:ascii="Arial" w:cs="Arial" w:eastAsia="Arial" w:hAnsi="Arial"/>
          <w:sz w:val="18"/>
          <w:szCs w:val="18"/>
          <w:color w:val="auto"/>
        </w:rPr>
        <w:t>Extensible Business Reporting Language (XBRL).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Provided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9756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J Febbo</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Principal Executive Officer, and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9756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Douglas P. Baker</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Principal Financial Officer and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904" w:right="45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 Febbo, certify that;</w:t>
      </w:r>
    </w:p>
    <w:p>
      <w:pPr>
        <w:spacing w:after="0" w:line="22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2017 of OptimizeRx Corp (the “registrant”);</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 Febbo</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Baker,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2017 of OptimizeRx Corp (the “registrant”);</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P. Baker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40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Douglas P. Baker</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quarterly Report of OptimizeRx Corp (the “Company”) on Form 10-Q for the quarter ended September 30, 2017 filed with the Securities and Exchange Commission (the “Report”), I, Will Febbo, Chief Executive Officer and I, Douglas Baker,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William J. Febbo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November 2, 2017</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Douglas P. Baker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November 2, 2017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2019-12-29T04:01:59Z</dcterms:created>
  <dcterms:modified xsi:type="dcterms:W3CDTF">2019-12-29T04:01:59Z</dcterms:modified>
</cp:coreProperties>
</file>