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Besch Doug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40"/>
        <w:spacing w:after="0" w:line="320" w:lineRule="auto"/>
        <w:rPr>
          <w:sz w:val="20"/>
          <w:szCs w:val="20"/>
          <w:color w:val="auto"/>
        </w:rPr>
      </w:pPr>
      <w:r>
        <w:rPr>
          <w:rFonts w:ascii="Times New Roman" w:cs="Times New Roman" w:eastAsia="Times New Roman" w:hAnsi="Times New Roman"/>
          <w:sz w:val="17"/>
          <w:szCs w:val="17"/>
          <w:color w:val="0000FF"/>
        </w:rPr>
        <w:t>C/O OPTIMIZERX CORPORATION 260 CHARLES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02/15/2025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25"/>
        <w:spacing w:after="0"/>
        <w:rPr>
          <w:sz w:val="20"/>
          <w:szCs w:val="20"/>
          <w:color w:val="auto"/>
        </w:rPr>
      </w:pPr>
      <w:r>
        <w:rPr>
          <w:rFonts w:ascii="Times New Roman" w:cs="Times New Roman" w:eastAsia="Times New Roman" w:hAnsi="Times New Roman"/>
          <w:sz w:val="17"/>
          <w:szCs w:val="17"/>
          <w:color w:val="0000FF"/>
        </w:rPr>
        <w:t>Chief Product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0"/>
                <w:szCs w:val="10"/>
                <w:color w:val="auto"/>
              </w:rPr>
            </w:pPr>
          </w:p>
        </w:tc>
        <w:tc>
          <w:tcPr>
            <w:tcW w:w="3520" w:type="dxa"/>
            <w:vAlign w:val="bottom"/>
            <w:gridSpan w:val="9"/>
          </w:tcPr>
          <w:p>
            <w:pPr>
              <w:ind w:left="18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02453</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02/15/2025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1,386</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6.64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51,605</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to satisfy the Reporting Person's tax withholding obligations. Such withholding is treated as a disposition of securities under Section 16 of the Securities Exchange Act of 1934, as amended.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540"/>
        <w:spacing w:after="0" w:line="272"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02/20/2025</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6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7731"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2025-02-20T12:44:49Z</dcterms:created>
  <dcterms:modified xsi:type="dcterms:W3CDTF">2025-02-20T12:44:49Z</dcterms:modified>
</cp:coreProperties>
</file>