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0557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0557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AWM Investment Company, Inc.</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2880" w:type="dxa"/>
            <w:vAlign w:val="bottom"/>
            <w:tcBorders>
              <w:top w:val="single" w:sz="8" w:color="0000EE"/>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05/04/2018</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OptimizeRx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OPRX</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30"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040" w:type="dxa"/>
            <w:vAlign w:val="bottom"/>
          </w:tcPr>
          <w:p>
            <w:pPr>
              <w:ind w:left="20"/>
              <w:spacing w:after="0"/>
              <w:rPr>
                <w:sz w:val="20"/>
                <w:szCs w:val="20"/>
                <w:color w:val="auto"/>
              </w:rPr>
            </w:pPr>
            <w:r>
              <w:rPr>
                <w:rFonts w:ascii="Arial" w:cs="Arial" w:eastAsia="Arial" w:hAnsi="Arial"/>
                <w:sz w:val="14"/>
                <w:szCs w:val="14"/>
                <w:color w:val="auto"/>
              </w:rPr>
              <w:t>(Last)</w:t>
            </w:r>
          </w:p>
        </w:tc>
        <w:tc>
          <w:tcPr>
            <w:tcW w:w="1000" w:type="dxa"/>
            <w:vAlign w:val="bottom"/>
          </w:tcPr>
          <w:p>
            <w:pPr>
              <w:ind w:left="80"/>
              <w:spacing w:after="0"/>
              <w:rPr>
                <w:sz w:val="20"/>
                <w:szCs w:val="20"/>
                <w:color w:val="auto"/>
              </w:rPr>
            </w:pPr>
            <w:r>
              <w:rPr>
                <w:rFonts w:ascii="Arial" w:cs="Arial" w:eastAsia="Arial" w:hAnsi="Arial"/>
                <w:sz w:val="14"/>
                <w:szCs w:val="14"/>
                <w:color w:val="auto"/>
              </w:rPr>
              <w:t>(First)</w:t>
            </w:r>
          </w:p>
        </w:tc>
        <w:tc>
          <w:tcPr>
            <w:tcW w:w="1200" w:type="dxa"/>
            <w:vAlign w:val="bottom"/>
          </w:tcPr>
          <w:p>
            <w:pPr>
              <w:ind w:left="16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2040" w:type="dxa"/>
            <w:vAlign w:val="bottom"/>
            <w:gridSpan w:val="2"/>
          </w:tcPr>
          <w:p>
            <w:pPr>
              <w:ind w:left="20"/>
              <w:spacing w:after="0"/>
              <w:rPr>
                <w:sz w:val="20"/>
                <w:szCs w:val="20"/>
                <w:color w:val="auto"/>
              </w:rPr>
            </w:pPr>
            <w:r>
              <w:rPr>
                <w:rFonts w:ascii="Arial" w:cs="Arial" w:eastAsia="Arial" w:hAnsi="Arial"/>
                <w:sz w:val="18"/>
                <w:szCs w:val="18"/>
                <w:color w:val="0000FF"/>
              </w:rPr>
              <w:t>527 MADISON AVENUE</w:t>
            </w:r>
          </w:p>
        </w:tc>
        <w:tc>
          <w:tcPr>
            <w:tcW w:w="120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1040" w:type="dxa"/>
            <w:vAlign w:val="bottom"/>
          </w:tcPr>
          <w:p>
            <w:pPr>
              <w:ind w:left="20"/>
              <w:spacing w:after="0"/>
              <w:rPr>
                <w:sz w:val="20"/>
                <w:szCs w:val="20"/>
                <w:color w:val="auto"/>
              </w:rPr>
            </w:pPr>
            <w:r>
              <w:rPr>
                <w:rFonts w:ascii="Arial" w:cs="Arial" w:eastAsia="Arial" w:hAnsi="Arial"/>
                <w:sz w:val="18"/>
                <w:szCs w:val="18"/>
                <w:color w:val="0000FF"/>
              </w:rPr>
              <w:t>SUITE 2600</w:t>
            </w:r>
          </w:p>
        </w:tc>
        <w:tc>
          <w:tcPr>
            <w:tcW w:w="100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158"/>
        </w:trPr>
        <w:tc>
          <w:tcPr>
            <w:tcW w:w="2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r>
      <w:tr>
        <w:trPr>
          <w:trHeight w:val="270"/>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1040" w:type="dxa"/>
            <w:vAlign w:val="bottom"/>
          </w:tcPr>
          <w:p>
            <w:pPr>
              <w:ind w:left="20"/>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80"/>
              <w:spacing w:after="0"/>
              <w:rPr>
                <w:sz w:val="20"/>
                <w:szCs w:val="20"/>
                <w:color w:val="auto"/>
              </w:rPr>
            </w:pPr>
            <w:r>
              <w:rPr>
                <w:rFonts w:ascii="Arial" w:cs="Arial" w:eastAsia="Arial" w:hAnsi="Arial"/>
                <w:sz w:val="18"/>
                <w:szCs w:val="18"/>
                <w:color w:val="0000FF"/>
              </w:rPr>
              <w:t>NY</w:t>
            </w:r>
          </w:p>
        </w:tc>
        <w:tc>
          <w:tcPr>
            <w:tcW w:w="1200" w:type="dxa"/>
            <w:vAlign w:val="bottom"/>
          </w:tcPr>
          <w:p>
            <w:pPr>
              <w:ind w:left="160"/>
              <w:spacing w:after="0"/>
              <w:rPr>
                <w:sz w:val="20"/>
                <w:szCs w:val="20"/>
                <w:color w:val="auto"/>
              </w:rPr>
            </w:pPr>
            <w:r>
              <w:rPr>
                <w:rFonts w:ascii="Arial" w:cs="Arial" w:eastAsia="Arial" w:hAnsi="Arial"/>
                <w:sz w:val="18"/>
                <w:szCs w:val="18"/>
                <w:color w:val="0000FF"/>
              </w:rPr>
              <w:t>10022</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p>
      <w:pPr>
        <w:ind w:left="546"/>
        <w:spacing w:after="0"/>
        <w:tabs>
          <w:tab w:leader="none" w:pos="1805" w:val="left"/>
          <w:tab w:leader="none" w:pos="2145" w:val="left"/>
        </w:tabs>
        <w:rPr>
          <w:sz w:val="20"/>
          <w:szCs w:val="20"/>
          <w:color w:val="auto"/>
        </w:rPr>
      </w:pPr>
      <w:r>
        <w:rPr>
          <w:rFonts w:ascii="Arial" w:cs="Arial" w:eastAsia="Arial" w:hAnsi="Arial"/>
          <w:sz w:val="14"/>
          <w:szCs w:val="14"/>
          <w:color w:val="auto"/>
        </w:rPr>
        <w:t>Director</w:t>
      </w:r>
      <w:r>
        <w:rPr>
          <w:sz w:val="20"/>
          <w:szCs w:val="20"/>
          <w:color w:val="auto"/>
        </w:rPr>
        <w:tab/>
      </w:r>
      <w:r>
        <w:rPr>
          <w:rFonts w:ascii="Arial" w:cs="Arial" w:eastAsia="Arial" w:hAnsi="Arial"/>
          <w:sz w:val="18"/>
          <w:szCs w:val="18"/>
          <w:color w:val="0000FF"/>
        </w:rPr>
        <w:t>X</w:t>
      </w:r>
      <w:r>
        <w:rPr>
          <w:sz w:val="20"/>
          <w:szCs w:val="20"/>
          <w:color w:val="auto"/>
        </w:rPr>
        <w:tab/>
      </w:r>
      <w:r>
        <w:rPr>
          <w:rFonts w:ascii="Arial" w:cs="Arial" w:eastAsia="Arial" w:hAnsi="Arial"/>
          <w:sz w:val="12"/>
          <w:szCs w:val="12"/>
          <w:color w:val="auto"/>
        </w:rPr>
        <w:t>10% Owner</w:t>
      </w:r>
    </w:p>
    <w:p>
      <w:pPr>
        <w:spacing w:after="0" w:line="58"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376"/>
        </w:trPr>
        <w:tc>
          <w:tcPr>
            <w:tcW w:w="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7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tcPr>
          <w:p>
            <w:pPr>
              <w:jc w:val="right"/>
              <w:ind w:right="307"/>
              <w:spacing w:after="0"/>
              <w:rPr>
                <w:sz w:val="20"/>
                <w:szCs w:val="20"/>
                <w:color w:val="auto"/>
              </w:rPr>
            </w:pPr>
            <w:r>
              <w:rPr>
                <w:rFonts w:ascii="Arial" w:cs="Arial" w:eastAsia="Arial" w:hAnsi="Arial"/>
                <w:sz w:val="18"/>
                <w:szCs w:val="18"/>
                <w:color w:val="0000FF"/>
              </w:rPr>
              <w:t>4,103,774</w:t>
            </w:r>
            <w:r>
              <w:rPr>
                <w:rFonts w:ascii="Arial" w:cs="Arial" w:eastAsia="Arial" w:hAnsi="Arial"/>
                <w:sz w:val="22"/>
                <w:szCs w:val="22"/>
                <w:color w:val="008000"/>
                <w:vertAlign w:val="superscript"/>
              </w:rPr>
              <w:t>(1)(2)(3)</w:t>
            </w:r>
          </w:p>
        </w:tc>
        <w:tc>
          <w:tcPr>
            <w:tcW w:w="1020" w:type="dxa"/>
            <w:vAlign w:val="bottom"/>
            <w:tcBorders>
              <w:bottom w:val="single" w:sz="8" w:color="2C2C2C"/>
            </w:tcBorders>
            <w:gridSpan w:val="2"/>
          </w:tcPr>
          <w:p>
            <w:pPr>
              <w:ind w:left="560"/>
              <w:spacing w:after="0" w:line="324" w:lineRule="exact"/>
              <w:rPr>
                <w:sz w:val="20"/>
                <w:szCs w:val="20"/>
                <w:color w:val="auto"/>
              </w:rPr>
            </w:pPr>
            <w:r>
              <w:rPr>
                <w:rFonts w:ascii="Arial" w:cs="Arial" w:eastAsia="Arial" w:hAnsi="Arial"/>
                <w:sz w:val="35"/>
                <w:szCs w:val="35"/>
                <w:color w:val="0000FF"/>
                <w:w w:val="93"/>
                <w:vertAlign w:val="subscript"/>
              </w:rPr>
              <w:t>I</w:t>
            </w:r>
            <w:r>
              <w:rPr>
                <w:rFonts w:ascii="Arial" w:cs="Arial" w:eastAsia="Arial" w:hAnsi="Arial"/>
                <w:sz w:val="11"/>
                <w:szCs w:val="11"/>
                <w:color w:val="008000"/>
                <w:w w:val="93"/>
              </w:rPr>
              <w:t>(1)(2)(3)</w:t>
            </w:r>
          </w:p>
        </w:tc>
        <w:tc>
          <w:tcPr>
            <w:tcW w:w="3360" w:type="dxa"/>
            <w:vAlign w:val="bottom"/>
            <w:tcBorders>
              <w:bottom w:val="single" w:sz="8" w:color="2C2C2C"/>
            </w:tcBorders>
            <w:gridSpan w:val="4"/>
          </w:tcPr>
          <w:p>
            <w:pPr>
              <w:ind w:left="460"/>
              <w:spacing w:after="0"/>
              <w:rPr>
                <w:sz w:val="20"/>
                <w:szCs w:val="20"/>
                <w:color w:val="auto"/>
              </w:rPr>
            </w:pPr>
            <w:r>
              <w:rPr>
                <w:rFonts w:ascii="Arial" w:cs="Arial" w:eastAsia="Arial" w:hAnsi="Arial"/>
                <w:sz w:val="18"/>
                <w:szCs w:val="18"/>
                <w:color w:val="0000FF"/>
              </w:rPr>
              <w:t>By Limited Partnerships</w:t>
            </w:r>
            <w:r>
              <w:rPr>
                <w:rFonts w:ascii="Arial" w:cs="Arial" w:eastAsia="Arial" w:hAnsi="Arial"/>
                <w:sz w:val="22"/>
                <w:szCs w:val="22"/>
                <w:color w:val="008000"/>
                <w:vertAlign w:val="superscript"/>
              </w:rPr>
              <w:t>(1)(2)(3)</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4460" w:type="dxa"/>
            <w:vAlign w:val="bottom"/>
            <w:tcBorders>
              <w:top w:val="single" w:sz="8" w:color="2C2C2C"/>
            </w:tcBorders>
            <w:gridSpan w:val="5"/>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2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5980" w:type="dxa"/>
            <w:vAlign w:val="bottom"/>
            <w:gridSpan w:val="7"/>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70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80" w:type="dxa"/>
            <w:vAlign w:val="bottom"/>
            <w:gridSpan w:val="3"/>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20" w:type="dxa"/>
            <w:vAlign w:val="bottom"/>
          </w:tcPr>
          <w:p>
            <w:pPr>
              <w:ind w:left="2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8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2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7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76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20" w:type="dxa"/>
            <w:vAlign w:val="bottom"/>
            <w:vMerge w:val="restart"/>
          </w:tcPr>
          <w:p>
            <w:pPr>
              <w:ind w:left="2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760" w:type="dxa"/>
            <w:vAlign w:val="bottom"/>
          </w:tcPr>
          <w:p>
            <w:pPr>
              <w:spacing w:after="0"/>
              <w:rPr>
                <w:sz w:val="4"/>
                <w:szCs w:val="4"/>
                <w:color w:val="auto"/>
              </w:rPr>
            </w:pPr>
          </w:p>
        </w:tc>
        <w:tc>
          <w:tcPr>
            <w:tcW w:w="102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Amount</w:t>
            </w:r>
          </w:p>
        </w:tc>
        <w:tc>
          <w:tcPr>
            <w:tcW w:w="82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820" w:type="dxa"/>
            <w:vAlign w:val="bottom"/>
          </w:tcPr>
          <w:p>
            <w:pPr>
              <w:ind w:left="2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20" w:type="dxa"/>
            <w:vAlign w:val="bottom"/>
            <w:gridSpan w:val="2"/>
          </w:tcPr>
          <w:p>
            <w:pPr>
              <w:ind w:left="360"/>
              <w:spacing w:after="0" w:line="149" w:lineRule="exact"/>
              <w:rPr>
                <w:sz w:val="20"/>
                <w:szCs w:val="20"/>
                <w:color w:val="auto"/>
              </w:rPr>
            </w:pPr>
            <w:r>
              <w:rPr>
                <w:rFonts w:ascii="Arial" w:cs="Arial" w:eastAsia="Arial" w:hAnsi="Arial"/>
                <w:sz w:val="14"/>
                <w:szCs w:val="14"/>
                <w:b w:val="1"/>
                <w:bCs w:val="1"/>
                <w:color w:val="auto"/>
              </w:rPr>
              <w:t>or</w:t>
            </w:r>
          </w:p>
        </w:tc>
        <w:tc>
          <w:tcPr>
            <w:tcW w:w="82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20" w:type="dxa"/>
            <w:vAlign w:val="bottom"/>
            <w:gridSpan w:val="2"/>
          </w:tcPr>
          <w:p>
            <w:pPr>
              <w:ind w:left="360"/>
              <w:spacing w:after="0" w:line="145" w:lineRule="exact"/>
              <w:rPr>
                <w:sz w:val="20"/>
                <w:szCs w:val="20"/>
                <w:color w:val="auto"/>
              </w:rPr>
            </w:pPr>
            <w:r>
              <w:rPr>
                <w:rFonts w:ascii="Arial" w:cs="Arial" w:eastAsia="Arial" w:hAnsi="Arial"/>
                <w:sz w:val="14"/>
                <w:szCs w:val="14"/>
                <w:b w:val="1"/>
                <w:bCs w:val="1"/>
                <w:color w:val="auto"/>
              </w:rPr>
              <w:t>Number</w:t>
            </w:r>
          </w:p>
        </w:tc>
        <w:tc>
          <w:tcPr>
            <w:tcW w:w="8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760" w:type="dxa"/>
            <w:vAlign w:val="bottom"/>
          </w:tcPr>
          <w:p>
            <w:pPr>
              <w:spacing w:after="0"/>
              <w:rPr>
                <w:sz w:val="12"/>
                <w:szCs w:val="12"/>
                <w:color w:val="auto"/>
              </w:rPr>
            </w:pPr>
          </w:p>
        </w:tc>
        <w:tc>
          <w:tcPr>
            <w:tcW w:w="1020" w:type="dxa"/>
            <w:vAlign w:val="bottom"/>
            <w:gridSpan w:val="2"/>
          </w:tcPr>
          <w:p>
            <w:pPr>
              <w:ind w:left="360"/>
              <w:spacing w:after="0" w:line="149" w:lineRule="exact"/>
              <w:rPr>
                <w:sz w:val="20"/>
                <w:szCs w:val="20"/>
                <w:color w:val="auto"/>
              </w:rPr>
            </w:pPr>
            <w:r>
              <w:rPr>
                <w:rFonts w:ascii="Arial" w:cs="Arial" w:eastAsia="Arial" w:hAnsi="Arial"/>
                <w:sz w:val="14"/>
                <w:szCs w:val="14"/>
                <w:b w:val="1"/>
                <w:bCs w:val="1"/>
                <w:color w:val="auto"/>
              </w:rPr>
              <w:t>of</w:t>
            </w:r>
          </w:p>
        </w:tc>
        <w:tc>
          <w:tcPr>
            <w:tcW w:w="8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76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020" w:type="dxa"/>
            <w:vAlign w:val="bottom"/>
            <w:gridSpan w:val="2"/>
          </w:tcPr>
          <w:p>
            <w:pPr>
              <w:ind w:left="360"/>
              <w:spacing w:after="0"/>
              <w:rPr>
                <w:sz w:val="20"/>
                <w:szCs w:val="20"/>
                <w:color w:val="auto"/>
              </w:rPr>
            </w:pPr>
            <w:r>
              <w:rPr>
                <w:rFonts w:ascii="Arial" w:cs="Arial" w:eastAsia="Arial" w:hAnsi="Arial"/>
                <w:sz w:val="14"/>
                <w:szCs w:val="14"/>
                <w:b w:val="1"/>
                <w:bCs w:val="1"/>
                <w:color w:val="auto"/>
              </w:rPr>
              <w:t>Shares</w:t>
            </w:r>
          </w:p>
        </w:tc>
        <w:tc>
          <w:tcPr>
            <w:tcW w:w="8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60" w:firstLine="9"/>
        <w:spacing w:after="0" w:line="233"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AWM Investment Company, Inc., a Delaware Corporation (AWM), is the investment adviser to Special Situations Fund III QP, L.P. (QP), Special Situations Cayman Fund, L.P. (CAYMAN) and Special Situations Private Equity Fund, L.P. (PE together with QP and CAYMAN the Funds). As the investment adviser to the Funds, AWM holds sole voting and investment power over 2,436,390 of Common Stock of the Issuer (the Shares) held by QP, 911,189 Shares held by CAYMAN and 756,195 Shares held by PE.</w:t>
      </w:r>
    </w:p>
    <w:p>
      <w:pPr>
        <w:spacing w:after="0" w:line="30" w:lineRule="exact"/>
        <w:rPr>
          <w:rFonts w:ascii="Arial" w:cs="Arial" w:eastAsia="Arial" w:hAnsi="Arial"/>
          <w:sz w:val="14"/>
          <w:szCs w:val="14"/>
          <w:color w:val="008000"/>
        </w:rPr>
      </w:pPr>
    </w:p>
    <w:p>
      <w:pPr>
        <w:ind w:left="40" w:right="120" w:firstLine="9"/>
        <w:spacing w:after="0" w:line="233"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Austin W. Marxe (Marxe), David M. Greenhouse (Greenhouse) and Adam C. Stettner (Stettner) are the controlling principals of AWM. The reporting person disclaims beneficial ownership of the Shares, except to the extent of its pecuniary interest therein. This report shall not be deemed an admission that the reporting person is the beneficial owner of the securities reported herein for purposes of Section 16 of the Securities Exchange Act of 1934, as amended, or for any other purpose.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These shares do not reflect the 1 for 3 reverse split effective 5/14/2018.</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240" w:type="dxa"/>
            <w:vAlign w:val="bottom"/>
          </w:tcPr>
          <w:p>
            <w:pPr>
              <w:spacing w:after="0"/>
              <w:rPr>
                <w:sz w:val="20"/>
                <w:szCs w:val="20"/>
                <w:color w:val="auto"/>
              </w:rPr>
            </w:pPr>
            <w:r>
              <w:rPr>
                <w:rFonts w:ascii="Arial" w:cs="Arial" w:eastAsia="Arial" w:hAnsi="Arial"/>
                <w:sz w:val="18"/>
                <w:szCs w:val="18"/>
                <w:color w:val="0000FF"/>
                <w:w w:val="88"/>
              </w:rPr>
              <w:t>Adam C. Stettner</w:t>
            </w:r>
          </w:p>
        </w:tc>
        <w:tc>
          <w:tcPr>
            <w:tcW w:w="88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05/14/2018</w:t>
            </w:r>
          </w:p>
        </w:tc>
      </w:tr>
      <w:tr>
        <w:trPr>
          <w:trHeight w:val="20"/>
        </w:trPr>
        <w:tc>
          <w:tcPr>
            <w:tcW w:w="124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535264" TargetMode="External"/><Relationship Id="rId12" Type="http://schemas.openxmlformats.org/officeDocument/2006/relationships/hyperlink" Target="http://www.sec.gov/cgi-bin/browse-edgar?action=getcompany&amp;CIK=00014484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2019-12-07T15:01:25Z</dcterms:created>
  <dcterms:modified xsi:type="dcterms:W3CDTF">2019-12-07T15:01:25Z</dcterms:modified>
</cp:coreProperties>
</file>