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FEBBO WILLIAM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40"/>
        <w:spacing w:after="0" w:line="336" w:lineRule="auto"/>
        <w:rPr>
          <w:sz w:val="20"/>
          <w:szCs w:val="20"/>
          <w:color w:val="auto"/>
        </w:rPr>
      </w:pPr>
      <w:r>
        <w:rPr>
          <w:rFonts w:ascii="Times New Roman" w:cs="Times New Roman" w:eastAsia="Times New Roman" w:hAnsi="Times New Roman"/>
          <w:sz w:val="17"/>
          <w:szCs w:val="17"/>
          <w:color w:val="0000FF"/>
        </w:rPr>
        <w:t>C/O OPTIMIZERX CORPORATION 260 CHARLES STREET, SUITE 302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OptimizeRx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OPRX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02/14/2025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405"/>
        <w:spacing w:after="0"/>
        <w:rPr>
          <w:sz w:val="20"/>
          <w:szCs w:val="20"/>
          <w:color w:val="auto"/>
        </w:rPr>
      </w:pPr>
      <w:r>
        <w:rPr>
          <w:rFonts w:ascii="Times New Roman" w:cs="Times New Roman" w:eastAsia="Times New Roman" w:hAnsi="Times New Roman"/>
          <w:sz w:val="17"/>
          <w:szCs w:val="17"/>
          <w:color w:val="0000FF"/>
        </w:rPr>
        <w:t>CEO</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02453</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02/14/2025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401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6.64</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600,852</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withheld by the Issuer to satisfy the Reporting Person's tax withholding obligations. Such withholding is treated as a disposition of securities under Section 16 of the Securities Exchange Act of 1934, as amended.</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540"/>
        <w:spacing w:after="0" w:line="272"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Marion Odence-Ford, by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02/20/2025</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64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64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13987" TargetMode="External"/><Relationship Id="rId14"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2025-02-20T12:44:00Z</dcterms:created>
  <dcterms:modified xsi:type="dcterms:W3CDTF">2025-02-20T12:44:00Z</dcterms:modified>
</cp:coreProperties>
</file>