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ea0201581-8k_optimize.htm"/>
      <w:bookmarkStart w:id="1" w:name="ksea02015818k_optimize"/>
      <w:bookmarkEnd w:id="0"/>
      <w:bookmarkEnd w:id="1"/>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40311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March 11, 2024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xdx_909_edei--EntityRegistrantName_c2024"/>
      <w:bookmarkEnd w:id="4"/>
      <w:r>
        <w:rPr>
          <w:rFonts w:ascii="Times New Roman;Times;Serif" w:hAnsi="Times New Roman;Times;Serif"/>
          <w:b/>
          <w:i w:val="false"/>
          <w:caps w:val="false"/>
          <w:smallCaps w:val="false"/>
          <w:sz w:val="20"/>
        </w:rPr>
        <w:t>OptimizeRx Corporation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3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F_edei--EntityFileNumber_c20240311"/>
            <w:bookmarkEnd w:id="6"/>
            <w:r>
              <w:rPr>
                <w:b/>
                <w:sz w:val="20"/>
              </w:rPr>
              <w:t>001-38543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26-1265381</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3755"/>
        <w:gridCol w:w="60"/>
        <w:gridCol w:w="920"/>
      </w:tblGrid>
      <w:tr>
        <w:trPr/>
        <w:tc>
          <w:tcPr>
            <w:tcW w:w="3755" w:type="dxa"/>
            <w:tcBorders>
              <w:bottom w:val="single" w:sz="12" w:space="0" w:color="000000"/>
            </w:tcBorders>
            <w:vAlign w:val="center"/>
          </w:tcPr>
          <w:p>
            <w:pPr>
              <w:pStyle w:val="TableContents"/>
              <w:bidi w:val="0"/>
              <w:spacing w:before="0" w:after="283"/>
              <w:jc w:val="center"/>
              <w:rPr>
                <w:b/>
                <w:sz w:val="20"/>
              </w:rPr>
            </w:pPr>
            <w:bookmarkStart w:id="8" w:name="xdx_90D_edei--EntityAddressAddressLine1_"/>
            <w:bookmarkEnd w:id="8"/>
            <w:r>
              <w:rPr>
                <w:b/>
                <w:sz w:val="20"/>
              </w:rPr>
              <w:t xml:space="preserve">260 Charles Street, </w:t>
            </w:r>
            <w:bookmarkStart w:id="9" w:name="xdx_909_edei--EntityAddressAddressLine2_"/>
            <w:bookmarkEnd w:id="9"/>
            <w:r>
              <w:rPr>
                <w:b/>
                <w:sz w:val="20"/>
              </w:rPr>
              <w:t xml:space="preserve">Suite 302, </w:t>
            </w:r>
            <w:bookmarkStart w:id="10" w:name="xdx_904_edei--EntityAddressCityOrTown_c2"/>
            <w:bookmarkEnd w:id="10"/>
            <w:r>
              <w:rPr>
                <w:b/>
                <w:sz w:val="20"/>
              </w:rPr>
              <w:t xml:space="preserve">Waltham, </w:t>
            </w:r>
            <w:bookmarkStart w:id="11" w:name="xdx_902_edei--EntityAddressStateOrProvin"/>
            <w:bookmarkEnd w:id="11"/>
            <w:r>
              <w:rPr>
                <w:b/>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1_edei--EntityAddressPostalZipCode"/>
            <w:bookmarkEnd w:id="12"/>
            <w:r>
              <w:rPr>
                <w:b/>
                <w:sz w:val="20"/>
              </w:rPr>
              <w:t>02453</w:t>
            </w:r>
          </w:p>
        </w:tc>
      </w:tr>
      <w:tr>
        <w:trPr/>
        <w:tc>
          <w:tcPr>
            <w:tcW w:w="375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1_edei--CityAreaCode_c20240311__20"/>
      <w:bookmarkEnd w:id="13"/>
      <w:r>
        <w:rPr>
          <w:rFonts w:ascii="Times New Roman;Times;Serif" w:hAnsi="Times New Roman;Times;Serif"/>
          <w:b/>
          <w:i w:val="false"/>
          <w:caps w:val="false"/>
          <w:smallCaps w:val="false"/>
          <w:sz w:val="20"/>
          <w:u w:val="single"/>
        </w:rPr>
        <w:t>248.</w:t>
      </w:r>
      <w:bookmarkStart w:id="14" w:name="xdx_908_edei--LocalPhoneNumber_c20240311"/>
      <w:bookmarkEnd w:id="14"/>
      <w:r>
        <w:rPr>
          <w:rFonts w:ascii="Times New Roman;Times;Serif" w:hAnsi="Times New Roman;Times;Serif"/>
          <w:b/>
          <w:i w:val="false"/>
          <w:caps w:val="false"/>
          <w:smallCaps w:val="false"/>
          <w:sz w:val="20"/>
          <w:u w:val="single"/>
        </w:rPr>
        <w:t>651.6568</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2_edei--SolicitingMaterial_c202403"/>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220" w:type="dxa"/>
        <w:jc w:val="left"/>
        <w:tblInd w:w="0" w:type="dxa"/>
        <w:tblLayout w:type="fixed"/>
        <w:tblCellMar>
          <w:top w:w="0" w:type="dxa"/>
          <w:left w:w="0" w:type="dxa"/>
          <w:bottom w:w="28" w:type="dxa"/>
          <w:right w:w="0" w:type="dxa"/>
        </w:tblCellMar>
      </w:tblPr>
      <w:tblGrid>
        <w:gridCol w:w="2780"/>
        <w:gridCol w:w="60"/>
        <w:gridCol w:w="1610"/>
        <w:gridCol w:w="60"/>
        <w:gridCol w:w="3710"/>
      </w:tblGrid>
      <w:tr>
        <w:trPr/>
        <w:tc>
          <w:tcPr>
            <w:tcW w:w="27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sz w:val="20"/>
              </w:rPr>
            </w:pPr>
            <w:bookmarkStart w:id="19" w:name="xdx_90D_edei--Security12bTitle_c20240311"/>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2_edei--TradingSymbol_c20240311__2"/>
            <w:bookmarkEnd w:id="20"/>
            <w:r>
              <w:rPr>
                <w:sz w:val="20"/>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9_edei--SecurityExchangeName_c2024"/>
            <w:bookmarkEnd w:id="21"/>
            <w:r>
              <w:rPr>
                <w:sz w:val="20"/>
              </w:rPr>
              <w:t>Nasdaq Capital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ind w:left="0" w:right="0" w:firstLine="72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2024, OptimizeRx Corp. (the “Company”) issued a press release reaffirming certain preliminary unaudited revenue and adjusted EBITDA results for fiscal 2023 based upon management estimates. A copy of the press release is furnished as Exhibit 99.1 to this Current Report on Form 8-K and is hereby incorporated herein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revenue and adjusted EBITDA for FY2023 set forth in the press release are preliminary and unaudited and are subject to completion of the Company’s financial closing procedures. The Company’s independent registered public accounting firm has not conducted an audit or review of and does not express an opinion or any other form of assurance with respect to, the preliminary unaudited revenue results. It is possible that the Company or its independent registered public accounting firm may identify items that require the Company to make adjustments to the preliminary estimates of revenue and/or adjusted EBITDA set forth in the press release.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in the press release furnished as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shall not be incorporated by reference into any filing with the U.S. Securities and Exchange Commission made by the Company, whether made before or after the date hereof, regardless of any general incorporation language in such filing.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695"/>
        <w:gridCol w:w="60"/>
        <w:gridCol w:w="6530"/>
      </w:tblGrid>
      <w:tr>
        <w:trPr/>
        <w:tc>
          <w:tcPr>
            <w:tcW w:w="695" w:type="dxa"/>
            <w:tcBorders>
              <w:bottom w:val="single" w:sz="12" w:space="0" w:color="000000"/>
            </w:tcBorders>
            <w:vAlign w:val="center"/>
          </w:tcPr>
          <w:p>
            <w:pPr>
              <w:pStyle w:val="TableContents"/>
              <w:bidi w:val="0"/>
              <w:spacing w:before="0" w:after="283"/>
              <w:jc w:val="left"/>
              <w:rPr>
                <w:sz w:val="20"/>
              </w:rPr>
            </w:pPr>
            <w:r>
              <w:rPr>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6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01581ex99-1_optimize.htm">
              <w:r>
                <w:rPr>
                  <w:rStyle w:val="InternetLink"/>
                  <w:sz w:val="20"/>
                </w:rPr>
                <w:t>Press Release, dated March 11, 2024</w:t>
              </w:r>
            </w:hyperlink>
          </w:p>
        </w:tc>
      </w:tr>
      <w:tr>
        <w:trPr/>
        <w:tc>
          <w:tcPr>
            <w:tcW w:w="6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ind w:left="0" w:right="0" w:firstLine="720"/>
        <w:jc w:val="both"/>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1805"/>
        <w:gridCol w:w="705"/>
        <w:gridCol w:w="2104"/>
      </w:tblGrid>
      <w:tr>
        <w:trPr/>
        <w:tc>
          <w:tcPr>
            <w:tcW w:w="180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b/>
                <w:sz w:val="20"/>
              </w:rPr>
            </w:pPr>
            <w:r>
              <w:rPr>
                <w:b/>
                <w:sz w:val="20"/>
              </w:rPr>
              <w:t>OPTIMIZERX CORPORATION</w:t>
            </w:r>
          </w:p>
        </w:tc>
      </w:tr>
      <w:tr>
        <w:trPr/>
        <w:tc>
          <w:tcPr>
            <w:tcW w:w="180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20"/>
              </w:rPr>
            </w:pPr>
            <w:r>
              <w:rPr>
                <w:sz w:val="20"/>
              </w:rPr>
              <w:t>Date: March 11, 2024</w:t>
            </w:r>
          </w:p>
        </w:tc>
        <w:tc>
          <w:tcPr>
            <w:tcW w:w="705" w:type="dxa"/>
            <w:tcBorders/>
            <w:vAlign w:val="center"/>
          </w:tcPr>
          <w:p>
            <w:pPr>
              <w:pStyle w:val="TableContents"/>
              <w:bidi w:val="0"/>
              <w:spacing w:before="0" w:after="283"/>
              <w:jc w:val="left"/>
              <w:rPr>
                <w:sz w:val="20"/>
              </w:rPr>
            </w:pPr>
            <w:r>
              <w:rPr>
                <w:sz w:val="20"/>
              </w:rPr>
              <w:t xml:space="preserve">By: </w:t>
            </w:r>
          </w:p>
        </w:tc>
        <w:tc>
          <w:tcPr>
            <w:tcW w:w="210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r>
      <w:tr>
        <w:trPr/>
        <w:tc>
          <w:tcPr>
            <w:tcW w:w="1805" w:type="dxa"/>
            <w:tcBorders/>
            <w:vAlign w:val="center"/>
          </w:tcPr>
          <w:p>
            <w:pPr>
              <w:pStyle w:val="TableContents"/>
              <w:bidi w:val="0"/>
              <w:spacing w:before="0" w:after="283"/>
              <w:jc w:val="both"/>
              <w:rPr/>
            </w:pPr>
            <w:r>
              <w:rPr/>
              <w:t> </w:t>
            </w:r>
          </w:p>
        </w:tc>
        <w:tc>
          <w:tcPr>
            <w:tcW w:w="705" w:type="dxa"/>
            <w:tcBorders/>
            <w:vAlign w:val="center"/>
          </w:tcPr>
          <w:p>
            <w:pPr>
              <w:pStyle w:val="TableContents"/>
              <w:bidi w:val="0"/>
              <w:spacing w:before="0" w:after="283"/>
              <w:jc w:val="both"/>
              <w:rPr>
                <w:sz w:val="20"/>
              </w:rPr>
            </w:pPr>
            <w:r>
              <w:rPr>
                <w:sz w:val="20"/>
              </w:rPr>
              <w:t xml:space="preserve">Name:  </w:t>
            </w:r>
          </w:p>
        </w:tc>
        <w:tc>
          <w:tcPr>
            <w:tcW w:w="2104" w:type="dxa"/>
            <w:tcBorders/>
            <w:vAlign w:val="center"/>
          </w:tcPr>
          <w:p>
            <w:pPr>
              <w:pStyle w:val="TableContents"/>
              <w:bidi w:val="0"/>
              <w:spacing w:before="0" w:after="283"/>
              <w:jc w:val="both"/>
              <w:rPr>
                <w:sz w:val="20"/>
              </w:rPr>
            </w:pPr>
            <w:r>
              <w:rPr>
                <w:sz w:val="20"/>
              </w:rPr>
              <w:t>Edward Stelmakh</w:t>
            </w:r>
          </w:p>
        </w:tc>
      </w:tr>
      <w:tr>
        <w:trPr/>
        <w:tc>
          <w:tcPr>
            <w:tcW w:w="180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sz w:val="20"/>
              </w:rPr>
            </w:pPr>
            <w:r>
              <w:rPr>
                <w:sz w:val="20"/>
              </w:rPr>
              <w:t xml:space="preserve">Title: </w:t>
            </w:r>
          </w:p>
        </w:tc>
        <w:tc>
          <w:tcPr>
            <w:tcW w:w="2104" w:type="dxa"/>
            <w:tcBorders/>
            <w:vAlign w:val="center"/>
          </w:tcPr>
          <w:p>
            <w:pPr>
              <w:pStyle w:val="TableContents"/>
              <w:bidi w:val="0"/>
              <w:spacing w:before="0" w:after="283"/>
              <w:jc w:val="left"/>
              <w:rPr>
                <w:sz w:val="20"/>
              </w:rPr>
            </w:pPr>
            <w:r>
              <w:rPr>
                <w:sz w:val="20"/>
              </w:rPr>
              <w:t>Chief Financial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jc w:val="left"/>
        <w:rPr/>
      </w:pPr>
      <w:bookmarkStart w:id="23" w:name="ea0201581ex99-1_optimize.htm"/>
      <w:bookmarkStart w:id="24" w:name="ksea0201581ex991_optimize"/>
      <w:bookmarkEnd w:id="23"/>
      <w:bookmarkEnd w:id="24"/>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drawing>
          <wp:inline distT="0" distB="0" distL="0" distR="0">
            <wp:extent cx="40005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0" cy="838200"/>
                    </a:xfrm>
                    <a:prstGeom prst="rect">
                      <a:avLst/>
                    </a:prstGeom>
                  </pic:spPr>
                </pic:pic>
              </a:graphicData>
            </a:graphic>
          </wp:inline>
        </w:drawing>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OptimizeRx Provides an Update on the Timing of Earnings Call and Reaffirms Prior Revenue and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Estimates for FY2023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WALTHAM, Mass. – March 11, 2024</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 xml:space="preserve">OptimizeRx Corp. </w:t>
      </w:r>
      <w:r>
        <w:rPr>
          <w:rFonts w:ascii="Times New Roman;Times;Serif" w:hAnsi="Times New Roman;Times;Serif"/>
          <w:b w:val="false"/>
          <w:i w:val="false"/>
          <w:caps w:val="false"/>
          <w:smallCaps w:val="false"/>
          <w:sz w:val="20"/>
        </w:rPr>
        <w:t>(the “Company”) (Nasdaq: OPRX), the leading provider of healthcare technology solutions helping life sciences companies reach and engage healthcare professional (HCPs) and patients, today provided an update on the anticipated timeline for its financial reporting and reaffirms prior revenue and adjusted EBITDA estimates for FY2023.</w:t>
      </w:r>
      <w:r>
        <w:rPr>
          <w:rFonts w:ascii="Times New Roman;Times;Serif" w:hAnsi="Times New Roman;Times;Serif"/>
          <w:b w:val="false"/>
          <w:i w:val="false"/>
          <w:caps w:val="false"/>
          <w:smallCaps w:val="false"/>
          <w:sz w:val="20"/>
          <w:shd w:fill="FCFCFC" w:val="clear"/>
        </w:rPr>
        <w:t> </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working to complete its year end close and audit processes by the filing deadline for non-accelerated, smaller reporting companies. As part of that work, the Company is finalizing its financial results and year end audit that includes its October 2023 acquisition of Healthy Offers, Inc. (dba Medicx Health), the November 2023 operational realignment to focus on core business lines, and performing further remediation of the previously disclosed material weakness related to the testing and validation of internal processes tied to certain third-party vendors more fully described in the Company’s Annual Report on Form 10-K for the fiscal year ended December 31, 2022.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plans to hold a conference call on Thursday, March 28, 2024 to discuss its results for the fourth quarter and full-year periods ended December 31, 2023.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audit of Medicx Health, it was determined that certain revenue streams for messages executed through Medicx Health’s channel partners, historically recognized on a gross basis, will now be recognized on a net basis. Consequently, the Company is updating its revenue guidance for this change and now anticipates revenue to be at least $100 million for 2024 as a result of this gross-to-net accounting treatment. Importantly, the Company’s adjusted EBITDA guidance remains unchanged, at greater than $11 million for 2024.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preliminary, unaudited review, OptimizeRx estimates FY2023 revenue to exceed the range of $68-$70 million and adjusted EBITDA to be in the range of $3-$4 million, which is consistent with the Company’s previously announced guidance.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revenue and adjusted EBITDA for FY2023 are preliminary and unaudited and are subject to completion of the Company’s financial closing procedures. The Company’s independent registered public accounting firm has not conducted an audit or review of and does not express an opinion or any other form of assurance with respect to, the preliminary unaudited revenue results. It is possible that the Company or its independent registered public accounting firm may identify items that require the Company to make adjustments to the preliminary estimates of revenue and/or adjusted EBITDA set forth in this press release.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reaffirms its commitment to maintaining open communication with investors, analysts, and other stakeholders and looks forward to talking with the investment community at upcoming conferences and during the forthcoming earnings call.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OptimizeRx</w:t>
      </w:r>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provides best-in-class health technology that enables care-focused engagement between life sciences organizations, healthcare providers, and patients at critical junctures throughout the patient care journey. Connecting over 2 million U.S. healthcare providers and millions of their patients through an intelligent technology platform embedded within a proprietary digital point-of-care network, as well as mass digital communication channels, OptimizeRx helps life sciences organizations engage and support their customers.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follow the Company on X, LinkedIn or visit www.optimizerx.com.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 Cautions Regarding Forward Looking Statements</w:t>
      </w:r>
      <w:r>
        <w:rPr>
          <w:rFonts w:ascii="Times New Roman;Times;Serif" w:hAnsi="Times New Roman;Times;Serif"/>
          <w:b w:val="false"/>
          <w:i w:val="false"/>
          <w:caps w:val="false"/>
          <w:smallCaps w:val="false"/>
          <w:sz w:val="20"/>
        </w:rPr>
        <w:t> </w:t>
        <w:b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anticipated timeline for the Company’s financial reporting and expected financial results for 2023 and 2024.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Company and its auditor’s ability to complete the audit on a timely basis and, in completing the audit, the possibility of management identifying items that would require adjustments to the preliminary unaudited revenue and adjusted EBITDA results described in this press release, and other risks summarized in the Company’s Annual Report on Form 10-K for the fiscal year ended December 31, 2022, its subsequent Quarterly Reports on Form 10-Q, and its other filings with the Securities and Exchange Commission.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OptimizeRx Contact</w:t>
      </w:r>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D’Silva, SVP Corporate Finance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adsilva@optimizerx.com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 Contact</w:t>
      </w:r>
      <w:r>
        <w:rPr>
          <w:rFonts w:ascii="Times New Roman;Times;Serif" w:hAnsi="Times New Roman;Times;Serif"/>
          <w:b w:val="false"/>
          <w:i w:val="false"/>
          <w:caps w:val="false"/>
          <w:smallCaps w:val="false"/>
          <w:sz w:val="20"/>
          <w:shd w:fill="FCFCFC" w:val="clear"/>
        </w:rPr>
        <w:t> </w:t>
      </w:r>
      <w:r>
        <w:rPr>
          <w:rFonts w:ascii="Times New Roman;Times;Serif" w:hAnsi="Times New Roman;Times;Serif"/>
          <w:b w:val="false"/>
          <w:i w:val="false"/>
          <w:caps w:val="false"/>
          <w:smallCaps w:val="false"/>
          <w:sz w:val="20"/>
        </w:rPr>
        <w:t> </w:t>
        <w:br/>
        <w:t>Dilma Bennett, Media Relations Manager </w:t>
        <w:br/>
      </w:r>
      <w:r>
        <w:rPr>
          <w:rFonts w:ascii="Times New Roman;Times;Serif" w:hAnsi="Times New Roman;Times;Serif"/>
          <w:b w:val="false"/>
          <w:i w:val="false"/>
          <w:caps w:val="false"/>
          <w:smallCaps w:val="false"/>
          <w:sz w:val="20"/>
          <w:u w:val="single"/>
        </w:rPr>
        <w:t>dbennett@optimizerx.com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Contact</w:t>
      </w:r>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Ashley Robinson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arr@lifesciadvisors.com</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1499</Words>
  <Characters>8735</Characters>
  <CharactersWithSpaces>10264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