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380" w:hanging="1606"/>
        <w:spacing w:after="0" w:line="482" w:lineRule="auto"/>
        <w:tabs>
          <w:tab w:leader="none" w:pos="26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2015</w:t>
      </w:r>
    </w:p>
    <w:p>
      <w:pPr>
        <w:spacing w:after="0" w:line="32" w:lineRule="exact"/>
        <w:rPr>
          <w:rFonts w:ascii="MS PGothic" w:cs="MS PGothic" w:eastAsia="MS PGothic" w:hAnsi="MS PGothic"/>
          <w:sz w:val="18"/>
          <w:szCs w:val="18"/>
          <w:color w:val="auto"/>
        </w:rPr>
      </w:pPr>
    </w:p>
    <w:p>
      <w:pPr>
        <w:ind w:left="2920" w:hanging="256"/>
        <w:spacing w:after="0"/>
        <w:tabs>
          <w:tab w:leader="none" w:pos="29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37" w:right="239" w:bottom="1440" w:gutter="0" w:footer="0" w:header="0"/>
        </w:sectPr>
      </w:pPr>
    </w:p>
    <w:p>
      <w:pPr>
        <w:spacing w:after="0" w:line="204" w:lineRule="exact"/>
        <w:rPr>
          <w:sz w:val="24"/>
          <w:szCs w:val="24"/>
          <w:color w:val="auto"/>
        </w:rPr>
      </w:pPr>
    </w:p>
    <w:p>
      <w:pPr>
        <w:ind w:left="5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5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9" w:lineRule="exact"/>
        <w:rPr>
          <w:sz w:val="24"/>
          <w:szCs w:val="24"/>
          <w:color w:val="auto"/>
        </w:rPr>
      </w:pPr>
    </w:p>
    <w:p>
      <w:pPr>
        <w:sectPr>
          <w:pgSz w:w="11900" w:h="16838" w:orient="portrait"/>
          <w:cols w:equalWidth="0" w:num="2">
            <w:col w:w="6240" w:space="720"/>
            <w:col w:w="4460"/>
          </w:cols>
          <w:pgMar w:left="240" w:top="537" w:right="239" w:bottom="1440" w:gutter="0" w:footer="0" w:header="0"/>
          <w:type w:val="continuous"/>
        </w:sectPr>
      </w:pPr>
    </w:p>
    <w:p>
      <w:pPr>
        <w:spacing w:after="0" w:line="196" w:lineRule="exact"/>
        <w:tabs>
          <w:tab w:leader="none" w:pos="88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23,042,819 common shares as of May 14,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20" w:type="dxa"/>
            <w:vAlign w:val="bottom"/>
            <w:gridSpan w:val="5"/>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6"/>
          </w:tcPr>
          <w:p>
            <w:pPr>
              <w:jc w:val="center"/>
              <w:ind w:right="3100"/>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Financial Statements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7"/>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7"/>
          </w:tcPr>
          <w:p>
            <w:pPr>
              <w:ind w:left="180"/>
              <w:spacing w:after="0"/>
              <w:rPr>
                <w:sz w:val="20"/>
                <w:szCs w:val="20"/>
                <w:color w:val="auto"/>
              </w:rPr>
            </w:pPr>
            <w:r>
              <w:rPr>
                <w:rFonts w:ascii="Arial" w:cs="Arial" w:eastAsia="Arial" w:hAnsi="Arial"/>
                <w:sz w:val="18"/>
                <w:szCs w:val="18"/>
                <w:color w:val="auto"/>
              </w:rPr>
              <w:t>Controls and Procedures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20" w:type="dxa"/>
            <w:vAlign w:val="bottom"/>
            <w:gridSpan w:val="5"/>
          </w:tcPr>
          <w:p>
            <w:pPr>
              <w:jc w:val="center"/>
              <w:ind w:right="3260"/>
              <w:spacing w:after="0" w:line="176" w:lineRule="exact"/>
              <w:rPr>
                <w:sz w:val="20"/>
                <w:szCs w:val="20"/>
                <w:color w:val="auto"/>
              </w:rPr>
            </w:pPr>
            <w:r>
              <w:rPr>
                <w:rFonts w:ascii="Arial" w:cs="Arial" w:eastAsia="Arial" w:hAnsi="Arial"/>
                <w:sz w:val="18"/>
                <w:szCs w:val="18"/>
                <w:b w:val="1"/>
                <w:bCs w:val="1"/>
                <w:color w:val="auto"/>
              </w:rPr>
              <w:t>PART II – OTHER INFORMATION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7"/>
          </w:tcPr>
          <w:p>
            <w:pPr>
              <w:ind w:left="180"/>
              <w:spacing w:after="0"/>
              <w:rPr>
                <w:sz w:val="20"/>
                <w:szCs w:val="20"/>
                <w:color w:val="auto"/>
              </w:rPr>
            </w:pPr>
            <w:r>
              <w:rPr>
                <w:rFonts w:ascii="Arial" w:cs="Arial" w:eastAsia="Arial" w:hAnsi="Arial"/>
                <w:sz w:val="18"/>
                <w:szCs w:val="18"/>
                <w:color w:val="auto"/>
              </w:rPr>
              <w:t>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7"/>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Defaults Upon Senior Securities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7"/>
          </w:tcPr>
          <w:p>
            <w:pPr>
              <w:ind w:left="180"/>
              <w:spacing w:after="0"/>
              <w:rPr>
                <w:sz w:val="20"/>
                <w:szCs w:val="20"/>
                <w:color w:val="auto"/>
              </w:rPr>
            </w:pPr>
            <w:r>
              <w:rPr>
                <w:rFonts w:ascii="Arial" w:cs="Arial" w:eastAsia="Arial" w:hAnsi="Arial"/>
                <w:sz w:val="18"/>
                <w:szCs w:val="18"/>
                <w:color w:val="auto"/>
              </w:rPr>
              <w:t>Mine Safety Disclosure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7"/>
          </w:tcPr>
          <w:p>
            <w:pPr>
              <w:ind w:left="180"/>
              <w:spacing w:after="0"/>
              <w:rPr>
                <w:sz w:val="20"/>
                <w:szCs w:val="20"/>
                <w:color w:val="auto"/>
              </w:rPr>
            </w:pPr>
            <w:r>
              <w:rPr>
                <w:rFonts w:ascii="Arial" w:cs="Arial" w:eastAsia="Arial" w:hAnsi="Arial"/>
                <w:sz w:val="18"/>
                <w:szCs w:val="18"/>
                <w:color w:val="auto"/>
              </w:rPr>
              <w:t>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4"/>
          </w:tcPr>
          <w:p>
            <w:pPr>
              <w:jc w:val="center"/>
              <w:ind w:left="3790"/>
              <w:spacing w:after="0"/>
              <w:rPr>
                <w:sz w:val="20"/>
                <w:szCs w:val="20"/>
                <w:color w:val="auto"/>
              </w:rPr>
            </w:pPr>
            <w:r>
              <w:rPr>
                <w:rFonts w:ascii="Arial" w:cs="Arial" w:eastAsia="Arial" w:hAnsi="Arial"/>
                <w:sz w:val="18"/>
                <w:szCs w:val="18"/>
                <w:color w:val="auto"/>
                <w:w w:val="99"/>
              </w:rPr>
              <w:t>1</w:t>
            </w: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-2348865</wp:posOffset>
            </wp:positionV>
            <wp:extent cx="7246620" cy="1920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92087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Consolidated Balance Sheets as of March 31, 2015 (unaudited)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Consolidated Statements of Operations for the three months ended March 31, 2015 and 2014 (unaudited);</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Consolidated Statements of Cash Flow for the three months ended March 31, 2015 and 2014 (unaudited);</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F-5</w:t>
      </w:r>
      <w:r>
        <w:rPr>
          <w:sz w:val="20"/>
          <w:szCs w:val="20"/>
          <w:color w:val="auto"/>
        </w:rPr>
        <w:tab/>
      </w:r>
      <w:r>
        <w:rPr>
          <w:rFonts w:ascii="Arial" w:cs="Arial" w:eastAsia="Arial" w:hAnsi="Arial"/>
          <w:sz w:val="16"/>
          <w:szCs w:val="16"/>
          <w:color w:val="auto"/>
        </w:rPr>
        <w:t>Notes to Consolidated Financial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2015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BALANCE SHEETS (UNAUDITED)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AS OF MARCH 31, 2015 AND 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2015</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3,510,823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1,813,541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2,100,381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38,299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5,362,663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916,956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930,854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462,784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1,384,789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6,759,196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163,131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200,372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30,851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1,163,302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1,502,761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253,438</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120,130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2,180,722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2,418,722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500,000,000 shares authorized, 22,924,819 and 22,867,319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22,925</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22,867</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2,153,295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27,720,330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27,595,609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1,021,000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963,063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(26,235,951)</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(26,124,750)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4,578,474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6,759,196</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-5127625</wp:posOffset>
            </wp:positionV>
            <wp:extent cx="7246620" cy="510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right"/>
              <w:ind w:right="320"/>
              <w:spacing w:after="0"/>
              <w:rPr>
                <w:sz w:val="20"/>
                <w:szCs w:val="20"/>
                <w:color w:val="auto"/>
              </w:rPr>
            </w:pPr>
            <w:r>
              <w:rPr>
                <w:rFonts w:ascii="Arial" w:cs="Arial" w:eastAsia="Arial" w:hAnsi="Arial"/>
                <w:sz w:val="18"/>
                <w:szCs w:val="18"/>
                <w:color w:val="auto"/>
                <w:w w:val="92"/>
              </w:rPr>
              <w:t>For the 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72"/>
              <w:spacing w:after="0" w:line="201" w:lineRule="exact"/>
              <w:rPr>
                <w:sz w:val="20"/>
                <w:szCs w:val="20"/>
                <w:color w:val="auto"/>
              </w:rPr>
            </w:pPr>
            <w:r>
              <w:rPr>
                <w:rFonts w:ascii="Arial" w:cs="Arial" w:eastAsia="Arial" w:hAnsi="Arial"/>
                <w:sz w:val="18"/>
                <w:szCs w:val="18"/>
                <w:color w:val="auto"/>
                <w:w w:val="85"/>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1,487,553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756,440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731,113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842,610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(111,497)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LOSS BEFORE PROVISION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(111,201</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(762,095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22,897,819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16,683,894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58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-5770880</wp:posOffset>
            </wp:positionV>
            <wp:extent cx="7246620" cy="5042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0425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7"/>
          </w:tcPr>
          <w:p>
            <w:pPr>
              <w:jc w:val="right"/>
              <w:ind w:right="360"/>
              <w:spacing w:after="0"/>
              <w:rPr>
                <w:sz w:val="20"/>
                <w:szCs w:val="20"/>
                <w:color w:val="auto"/>
              </w:rPr>
            </w:pPr>
            <w:r>
              <w:rPr>
                <w:rFonts w:ascii="Arial" w:cs="Arial" w:eastAsia="Arial" w:hAnsi="Arial"/>
                <w:sz w:val="18"/>
                <w:szCs w:val="18"/>
                <w:color w:val="auto"/>
                <w:w w:val="91"/>
              </w:rPr>
              <w:t>For the 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85"/>
              </w:rPr>
              <w:t>Restated</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(111,201)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79,591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439,838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286,840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(37,241)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(339,459)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133,308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86,692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226,727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rights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(19,800)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(109,272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issuance costs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(1,204,968)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Purchase of common and preferred stock and warrants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3" w:lineRule="exact"/>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63,850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2,912,487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3,446,973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620" w:type="dxa"/>
            <w:vAlign w:val="bottom"/>
            <w:vMerge w:val="continue"/>
          </w:tcPr>
          <w:p>
            <w:pPr>
              <w:spacing w:after="0"/>
              <w:rPr>
                <w:sz w:val="24"/>
                <w:szCs w:val="24"/>
                <w:color w:val="auto"/>
              </w:rPr>
            </w:pP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3,510,823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4,030,730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-5161915</wp:posOffset>
            </wp:positionV>
            <wp:extent cx="7246620" cy="5137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1371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OPTIMIZERx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OptimizeRx Corporation, is a technology solution company focused on the health care industry. Its objective is to bring better access to better care by leveraging its proprietary technology to provide on demand savings and support within physicians and patients web based platforms, including Electronic Health Records and Patient Portals. Initially defined as a marketing and advertising company through its consumer website, OptimizeRx.com, the Company has matured as a technology solutions provider through its direct to physician solution, SampleMD. SampleMD allows physicians to automatically display and distribute sample vouchers and/or co-pay coupons electronically within the ePrescription platform to pharmacies on behalf of their patients. The SampleMD solution is integrated into the ePrescribing or Electronic Medical Records applications, but can also sit on a prescriber’s desktop.</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solutions provide health care institutions with an alternative option to the traditional hassles and issues associated with storing and managing physical drug samples and pre-printed coupons and it provides better access and affordability to patients to improve affordability, adherence and outcomes. In turn, OptimizeRx provides pharmaceutical manufacturers with both direct to consumer and direct to physician channels for more efficiently communicating and promoting their products and savings.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 periods ended March 31, 2015 and 2014 have been prepared by us without audit pursuant to the rules and regulations of the Securities and Exchange Commission. In the opinion of management, all adjustments necessary to present fairly our financial position, results of operations, and cash flows as of March 31, 2015 and 2014, and for the periods then ended, have been made. Those adjustments consist of normal and recurring adjustments. The consolidated balance sheet as of December 31, 2014,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2014,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 period ended March 31, 2015,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2015, we issued 12,500 shares of common stock to outside Directors in connection with our Director Compensation plan which calls for issuance of 6,250 shares per quarter for each Director. Those shares were recorded as stock payable at December 31, 2014. In addition, we recorded an additional 12,500 shares, valued at $16,375 as stock payable at March 31, 2015 for shares to be issued in April 2015.</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February 2015 we entered into a capital markets advisory agreement covering a one year period which calls for 90,000 shares of common stock to be issued as compensation. These shares were valued at $112,500 and are being amortized to expense over the period of service. 45,000 of these shares were issued in March 2015, with the balance to be issued in August 2015. The agreement also allows an additional 60,000 shares to be earned based on future contingencies.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we entered into a securities purchase agreement, pursuant to which we sold 8,333,333 shares of our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our common stock with an exercise price of $1.20 per share and a term of 5 years. The warrants were valued at $1,110,211, have been recorded as equity issuance costs, and were registered on a registration statement that went effective May 28, 2014. In addition to the warrants to placement agents, we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executive officers at any time.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the net proceeds of the offering to exercise the securities redemption option agreement, as amended, with Vicis Capital Master Fund that provided us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were used for working capital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an executive officer exercised 500,000 stock warrants using the cashless exercise feature included in the warrants. In exchange for the 500,000 warrants, 410,348 shares of common stock were issued.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we agreed to grant 337,500 shares of our common stock, half of which vested immediately and half of which vested in August 2014, to two executive officers as bonuses based on their efforts to recapitalize the company to secure approximately $3 million in working capital while reducing fully diluted shares by approximately 7 million shares. These shares have not been issued, but are recorded as stock payable and can be requested by the officers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$53,841 and $36,235 in compensation expense in the periods ended March 31, 2015 and 2014, respectively, related to options issued under our stock-based incentive compensation plan. This includes expense related to options issued in prior years for which the requisite service period for those options includes the current year. No options were issued in the current year. The fair value of these instruments was calculated using the Black-Scholes option pricing model. Information related to the assumptions used in this model is set forth in our Annual Report on Form 10-K for the fiscal year ended December 31, 2014.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is seeking damages in an amount at least equal to the amounts paid to date to LDM under the settlement agreement, which approximates $1.0 million,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is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United States District Court in the District of New Jersey, without predjudice.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2014 we learned that Mr. Milton Wilpon (“Mr. Wilpon”) of New Jersey claimed to have obtained a default judgment for approximately $929,000 in the New Jersey Superior Court, Essex County (the “Judgment”) against a predecessor of the Company and was seeking to amend the Judgment to add us as a judgment debtor. The Judgment was entered in 2006 when the predecessor of the Company was a dormant shell company and the Judgment allegedly related to a settlement agreement that was breached in 2001 (the “Settlement Agreement”). We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our motion and vacated the Judgment in its entirety and dismissed the action.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petitioned the AAA to terminate the proceeding and in April 2015, the proceeding was terminated.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restated our financial statements to correct the way it accounted for certain items related to stock based compensation, revenue share expense, and revenue recognition. The full impact of the restatement was reflected in the December 31, 2014 financial statements at the end of the year. The table below reflects the impact on the 2014 period reflected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restated Consolidated Statement of Operations and Consolidated Statement of Cash Flows for the periods ended March 31, 2014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440" w:type="dxa"/>
            <w:vAlign w:val="bottom"/>
            <w:gridSpan w:val="4"/>
          </w:tcPr>
          <w:p>
            <w:pPr>
              <w:ind w:left="640"/>
              <w:spacing w:after="0"/>
              <w:rPr>
                <w:sz w:val="20"/>
                <w:szCs w:val="20"/>
                <w:color w:val="auto"/>
              </w:rPr>
            </w:pPr>
            <w:r>
              <w:rPr>
                <w:rFonts w:ascii="Arial" w:cs="Arial" w:eastAsia="Arial" w:hAnsi="Arial"/>
                <w:sz w:val="18"/>
                <w:szCs w:val="18"/>
                <w:color w:val="auto"/>
              </w:rPr>
              <w:t>Three months ended March 31, 2014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Previously</w:t>
            </w:r>
          </w:p>
        </w:tc>
      </w:tr>
      <w:tr>
        <w:trPr>
          <w:trHeight w:val="237"/>
        </w:trPr>
        <w:tc>
          <w:tcPr>
            <w:tcW w:w="20" w:type="dxa"/>
            <w:vAlign w:val="bottom"/>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Statement</w:t>
            </w:r>
          </w:p>
        </w:tc>
        <w:tc>
          <w:tcPr>
            <w:tcW w:w="198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Line Item</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Corrected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Stated</w:t>
            </w:r>
          </w:p>
        </w:tc>
      </w:tr>
      <w:tr>
        <w:trPr>
          <w:trHeight w:val="250"/>
        </w:trPr>
        <w:tc>
          <w:tcPr>
            <w:tcW w:w="20" w:type="dxa"/>
            <w:vAlign w:val="bottom"/>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line="203" w:lineRule="exact"/>
              <w:rPr>
                <w:sz w:val="20"/>
                <w:szCs w:val="20"/>
                <w:color w:val="auto"/>
              </w:rPr>
            </w:pPr>
            <w:r>
              <w:rPr>
                <w:rFonts w:ascii="Arial" w:cs="Arial" w:eastAsia="Arial" w:hAnsi="Arial"/>
                <w:sz w:val="18"/>
                <w:szCs w:val="18"/>
                <w:color w:val="auto"/>
              </w:rPr>
              <w:t>Income statement</w:t>
            </w:r>
          </w:p>
        </w:tc>
        <w:tc>
          <w:tcPr>
            <w:tcW w:w="1980" w:type="dxa"/>
            <w:vAlign w:val="bottom"/>
          </w:tcPr>
          <w:p>
            <w:pPr>
              <w:spacing w:after="0"/>
              <w:rPr>
                <w:sz w:val="17"/>
                <w:szCs w:val="17"/>
                <w:color w:val="auto"/>
              </w:rPr>
            </w:pPr>
          </w:p>
        </w:tc>
        <w:tc>
          <w:tcPr>
            <w:tcW w:w="44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561,411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498,810</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1,471,958</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Income statement</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(762,201)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(653,421)</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(762,095)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(653,315)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Income statement</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(762,095)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(653,315)</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(762,095)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(653,315)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Stock and options issued for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439,838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421,577</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Decrease in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400,330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455,585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Increase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66,439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41,439</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Decrease in revenue share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(321,947)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(395,935)</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tcPr>
          <w:p>
            <w:pPr>
              <w:spacing w:after="0"/>
              <w:rPr>
                <w:sz w:val="20"/>
                <w:szCs w:val="20"/>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Increase in 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211,248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-1852295</wp:posOffset>
            </wp:positionV>
            <wp:extent cx="7246620" cy="184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2015, we issued 12,500 shares of common stock to our outside directors in connection with their compensation as Directors. The grant was valued at the fair market value at the date of grant of $16,375 and recorded as stock payable at March 31, 2015. We also issued 108,000 shares of common stock in connection with the capital markets advisory described in Note 2 to be delivered only upon reaching established milestones.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May, 2015</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sales for the first three months of 2015 approached $1.5 million, a 15% increase over the same period in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$86,692 during the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balance increased to in excess of $3.5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balance sheet continued to improve with working capital of approximately $3.2 million and a working capital ratio of 2.5 to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Excluding non-cash expenses, the first quarter of 2015 generated operating income of $47,762.</w:t>
      </w:r>
    </w:p>
    <w:p>
      <w:pPr>
        <w:spacing w:after="0" w:line="9" w:lineRule="exact"/>
        <w:rPr>
          <w:rFonts w:ascii="Arial" w:cs="Arial" w:eastAsia="Arial" w:hAnsi="Arial"/>
          <w:sz w:val="18"/>
          <w:szCs w:val="18"/>
          <w:color w:val="auto"/>
        </w:rPr>
      </w:pPr>
    </w:p>
    <w:p>
      <w:pPr>
        <w:jc w:val="both"/>
        <w:ind w:left="660" w:hanging="328"/>
        <w:spacing w:after="0" w:line="22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initially launched our SampleMD e-coupon solution in April of 2015 within Practice Fusion’s EMR and expect to be fully integrated by the end of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 We also have received commitment to begin running key campaigns through NextGen and anticipate impact beginning in June. Additionally, company is actively engaging and advancing with other leading platforms to position and prioritize integration of services.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2015, which generated significant leads for our sales force.</w:t>
      </w:r>
    </w:p>
    <w:p>
      <w:pPr>
        <w:spacing w:after="0" w:line="18" w:lineRule="exact"/>
        <w:rPr>
          <w:rFonts w:ascii="Arial" w:cs="Arial" w:eastAsia="Arial" w:hAnsi="Arial"/>
          <w:sz w:val="17"/>
          <w:szCs w:val="17"/>
          <w:color w:val="auto"/>
        </w:rPr>
      </w:pPr>
    </w:p>
    <w:p>
      <w:pPr>
        <w:ind w:left="660" w:hanging="328"/>
        <w:spacing w:after="0" w:line="23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continued to add new brands in 2015 at both existing customers such as AstraZenica and Lilly, as well as at new customers such as Otsuka and Shionogi.</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continued to prove an outstanding return on investment on our pharmaceutical promotions through independent analytics firms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Completing major technical upgrades, including migration to Oracle database, to allow for very robust growth and performance.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We generated positive cash flow from operations for the quarter and we expect to continue to do so in future quarters. We expect to achieve profitability in future quarters based on the expected escalation of revenues. We also generated positive income from operations, when excluding non-cash expenses, as set forth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460"/>
              <w:spacing w:after="0"/>
              <w:rPr>
                <w:sz w:val="20"/>
                <w:szCs w:val="20"/>
                <w:color w:val="auto"/>
              </w:rPr>
            </w:pPr>
            <w:r>
              <w:rPr>
                <w:rFonts w:ascii="Arial" w:cs="Arial" w:eastAsia="Arial" w:hAnsi="Arial"/>
                <w:sz w:val="18"/>
                <w:szCs w:val="18"/>
                <w:color w:val="auto"/>
                <w:w w:val="95"/>
              </w:rPr>
              <w:t>Quarter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1,289,428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756,440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731,113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842,610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1,490,218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159,259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excluding noncash expenses</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(263,457</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2118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have launched our initial brands into Practice Fusion on a limited basis and are anticipating expanded rollout throughout the second quarter. We are also working extensively with our existing platforms to expand the reach of our eCoupon product to all of their providers, as well as increasing the utilization of the eCoupon functionality by their existing users.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finished the first quarter with a loss of approximately $100,000, a substantial reduction over the same period last year, and we generated positive cash flow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 reported for the three months ended March 31, 2015 was approximately $1.5 million, an increase of 15% over the approximately $1.3 million from the same period in 2014. These increased revenues result from both increased pharmaceutical brands being promoted and expanded distribution channels. We expect continued quarter over quarter revenue increases for the balance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cost of sales, composed of revenue share expense, increased over the same period in 2014 as a result of both the revenue increases and the LDM settlement signed in March 2014. In addition, revenue share expense as a percentage of revenue in 2015 increased over the same period in 2014. In the three month period, revenue share expense increased to approximately 51% of sales in 2015 from approximately 44% in the same period in 2014.</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future quarters to continue at levels similar to that of the quarter ended March 31, 2015 as revenues subject to revenue share expense continues to increase as a percentage of our overall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from approximately $1.5 million for the three month period ended March 31, 2014 to approximately $850,000 for the same period in 2015, a decrease of approximately 43%. The detail by major category is reflected in the table below.</w:t>
      </w:r>
    </w:p>
    <w:p>
      <w:pPr>
        <w:spacing w:after="0" w:line="170"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91175" cy="3018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91175" cy="3018790"/>
                    </a:xfrm>
                    <a:prstGeom prst="rect">
                      <a:avLst/>
                    </a:prstGeom>
                    <a:noFill/>
                  </pic:spPr>
                </pic:pic>
              </a:graphicData>
            </a:graphic>
          </wp:anchor>
        </w:drawing>
      </w:r>
    </w:p>
    <w:p>
      <w:pPr>
        <w:spacing w:after="0" w:line="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73,420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439,837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-2597785</wp:posOffset>
            </wp:positionV>
            <wp:extent cx="1655445" cy="257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55445" cy="257302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reasons for the decrease in operating expenses in 2015 are the lawsuit settlement in 2014, which resulted in a $400,000 payment to the plaintiff, and the reduction in stock-based compensation from 2014 to 2015. Ignoring those two items, operating expenses increased approximately 17%, however the majority of those increases related to things implemented after the first quarter of 2014, as opposed to new items in 2015. This would include new hires, as well as the addition of outside Directors and related compensation.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expect our operating expenses to continue to increase as we further implement our business plan and expand our operations, however, we do not expect those increases to be significant in the near future. Professional fees are significantly affected by litigation, and we do have litigation in progress, causing those fees to fluctuate from quarter to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2015 was approximately $110,000 as compared to a loss of approximately $760,000 during the same period in 2014. The reasons for specific components are discussed above. Overall, the decreased loss is mostly explained by the decrease in 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2015, we had total current assets of approximately $5.4 million, compared with current liabilities of approximately $2.2 million, resulting in working capital of approximately $3.2 million and a current ratio of approximately 2.5 to 1, similar to the working capital of approximately $3.2 million and current ratio of 2.3 to 1 at December 31, 2014. We are currently generating positive cash flow from operations and we expect our working capital balance to continue to improve in future quarters.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Our operating activities generated approximately $87,000 in cash flow during the three months ended March 31, 2015, compared with cash generated of approximately $227,000 in the same period in 2014. This decrease is primarily the result of increased accounts receivable balances resulting from the increased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$23,000 in investing activities in the three months ended March 31, 2015 compared with approximately $109,000 in the same period in 2014.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cash flows from financing activities in 2015, however financing activities provided approximately $2.8 million during the three months ended March 31, 2014. This results from a $10 million equity raise in March 2014,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and we do not anticipate the need to raise additional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2014, however we consider our critical accounting policies to be those related to revenue recognition, revenue share expense, stock-based compensation, capitalization and related amortization of intangible assets, and impairment of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of the effectiveness of the design and operation of our disclosure controls and procedures (as defined in Exchange Act Rules 13a-15(e) and 15d-15(e)) as of March 31, 2015. This evaluation was carried out under the supervision and with the participation of our Chief Executive Officer and our Chief Financial Officer. Based upon that evaluation, our Chief Executive Officer and Chief Financial Officer concluded that, as of March 31, 2015, our disclosure controls and procedures are not completely effective due to the presence of material weaknesses in internal control over financial reporting.</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2015, our disclosure controls and procedures were not effective: (i) inadequate segregation of duties; and (ii) inadequate information technology reporting systems to insure that accurate financial information is provided for accounting and financial reporting with respect to the requirements and application of both US GAAP and SEC guidelines.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our Annual Report on Form 10-K we have taken steps to enhance and improve the design of our internal controls over financial reporting. We will continue to establish procedures to mitigate the segregation of duties issues, but it is not possible to completely remediate the issue without hiring additional personnel. We are continuing to upgrade our technical systems to increase the reliability of information provided.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 We successfully resolved two pieces of litigation during the quarter as described below.</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its eCoupon programs in the LDM network, not allowing us to distribute the LDM patient education programs, and not providing other information required under the settlement agreement. We are seeking enforcement of the settlement agreement and is seeking damages in an amount at least equal to the amounts paid to date to LDM under the settlement agreement, which approximates $1.0 million,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is seeking damages in an amount at least equal the amounts we have paid to date to LDM under the settlement agreement, which approximates $1.0 million, as well as damages for lost income and business value as a result of PDR’s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United States District Court in the District of New Jersey, without predjudice.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2014 we learned that Mr. Milton Wilpon (“Mr. Wilpon”) of New Jersey claimed to have obtained a default judgment for approximately $929,000 in the New Jersey Superior Court, Essex County (the “Judgment”) against a predecessor of the Company and was seeking to amend the Judgment to add us as a judgment debtor. The Judgment was entered in 2006 when the predecessor of the Company was a dormant shell company and the Judgment allegedly related to a settlement agreement that was breached in 2001 (the “Settlement Agreement”). We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our motion and vacated the Judgment in its entirety and dismissed the 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petitioned the AAA to terminate the proceeding and in April 2015, the proceeding was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2015 we issued 45,000 shares of our common stock to an investment banking firm in connection with a capital markets advisory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12,500 shares of common stock to our outside directors in connection with our Director Compensation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302 of the Sarbanes-Oxley Act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 Act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 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The following materials from the Company’s Quarterly Report on Form 10-Q for the quarter ended March 31, 2015 formatted in Extensible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7246620" cy="1938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3802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By:</w:t>
        <w:tab/>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7527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Principal Executive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22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By:</w:t>
        <w:tab/>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7527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OptimizeRx Corp (the “registrant”);</w:t>
      </w:r>
    </w:p>
    <w:p>
      <w:pPr>
        <w:spacing w:after="0" w:line="225"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00" w:hanging="48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hanging="482"/>
        <w:spacing w:after="0" w:line="308" w:lineRule="auto"/>
        <w:tabs>
          <w:tab w:leader="none" w:pos="100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8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hanging="49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OptimizeRx Corp (the “registrant”);</w:t>
      </w:r>
    </w:p>
    <w:p>
      <w:pPr>
        <w:spacing w:after="0" w:line="225"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00" w:hanging="48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hanging="482"/>
        <w:spacing w:after="0" w:line="308" w:lineRule="auto"/>
        <w:tabs>
          <w:tab w:leader="none" w:pos="100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hanging="49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82"/>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hanging="492"/>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2015 filed with the Securities and Exchange Commission (the “Report”), I, David Harrell,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gridSpan w:val="3"/>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1760" w:type="dxa"/>
            <w:vAlign w:val="bottom"/>
            <w:gridSpan w:val="2"/>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gridSpan w:val="3"/>
          </w:tcPr>
          <w:p>
            <w:pPr>
              <w:spacing w:after="0"/>
              <w:rPr>
                <w:sz w:val="20"/>
                <w:szCs w:val="20"/>
                <w:color w:val="auto"/>
              </w:rPr>
            </w:pPr>
            <w:r>
              <w:rPr>
                <w:rFonts w:ascii="Arial" w:cs="Arial" w:eastAsia="Arial" w:hAnsi="Arial"/>
                <w:sz w:val="18"/>
                <w:szCs w:val="18"/>
                <w:color w:val="auto"/>
                <w:w w:val="92"/>
              </w:rPr>
              <w:t>Principal Executive Officer, and Director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gridSpan w:val="3"/>
          </w:tcPr>
          <w:p>
            <w:pPr>
              <w:spacing w:after="0"/>
              <w:rPr>
                <w:sz w:val="20"/>
                <w:szCs w:val="20"/>
                <w:color w:val="auto"/>
              </w:rPr>
            </w:pPr>
            <w:r>
              <w:rPr>
                <w:rFonts w:ascii="Arial" w:cs="Arial" w:eastAsia="Arial" w:hAnsi="Arial"/>
                <w:sz w:val="18"/>
                <w:szCs w:val="18"/>
                <w:color w:val="auto"/>
              </w:rPr>
              <w:t>May 14, 2015</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gridSpan w:val="3"/>
          </w:tcPr>
          <w:p>
            <w:pPr>
              <w:spacing w:after="0"/>
              <w:rPr>
                <w:sz w:val="20"/>
                <w:szCs w:val="20"/>
                <w:color w:val="auto"/>
              </w:rPr>
            </w:pPr>
            <w:r>
              <w:rPr>
                <w:rFonts w:ascii="Arial" w:cs="Arial" w:eastAsia="Arial" w:hAnsi="Arial"/>
                <w:sz w:val="18"/>
                <w:szCs w:val="18"/>
                <w:color w:val="auto"/>
              </w:rPr>
              <w:t>/s/ Douglas Baker</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Douglas Baker</w:t>
            </w:r>
          </w:p>
        </w:tc>
        <w:tc>
          <w:tcPr>
            <w:tcW w:w="168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gridSpan w:val="3"/>
          </w:tcPr>
          <w:p>
            <w:pPr>
              <w:spacing w:after="0"/>
              <w:rPr>
                <w:sz w:val="20"/>
                <w:szCs w:val="20"/>
                <w:color w:val="auto"/>
              </w:rPr>
            </w:pPr>
            <w:r>
              <w:rPr>
                <w:rFonts w:ascii="Arial" w:cs="Arial" w:eastAsia="Arial" w:hAnsi="Arial"/>
                <w:sz w:val="18"/>
                <w:szCs w:val="18"/>
                <w:color w:val="auto"/>
              </w:rPr>
              <w:t>May 14, 2015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2019-12-08T21:09:29Z</dcterms:created>
  <dcterms:modified xsi:type="dcterms:W3CDTF">2019-12-08T21:09:29Z</dcterms:modified>
</cp:coreProperties>
</file>