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5720" w:type="dxa"/>
            <w:vAlign w:val="bottom"/>
            <w:gridSpan w:val="2"/>
          </w:tcPr>
          <w:p>
            <w:pPr>
              <w:jc w:val="right"/>
              <w:ind w:right="2230"/>
              <w:spacing w:after="0"/>
              <w:rPr>
                <w:sz w:val="20"/>
                <w:szCs w:val="20"/>
                <w:color w:val="auto"/>
              </w:rPr>
            </w:pPr>
            <w:r>
              <w:rPr>
                <w:rFonts w:ascii="Arial" w:cs="Arial" w:eastAsia="Arial" w:hAnsi="Arial"/>
                <w:sz w:val="18"/>
                <w:szCs w:val="18"/>
                <w:b w:val="1"/>
                <w:bCs w:val="1"/>
                <w:color w:val="auto"/>
              </w:rPr>
              <w:t>26-1265381</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Water Street,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Rochester, MI 48307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OptimizeRx Corp. 2013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Spring Valley Solutions,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4955 S. Durango Rd. Ste. 165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Las Vegas, NV 89113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(248) 651-6568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11"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240" w:type="dxa"/>
            <w:vAlign w:val="bottom"/>
          </w:tcPr>
          <w:p>
            <w:pPr>
              <w:ind w:left="1080"/>
              <w:spacing w:after="0"/>
              <w:rPr>
                <w:sz w:val="20"/>
                <w:szCs w:val="20"/>
                <w:color w:val="auto"/>
              </w:rPr>
            </w:pPr>
            <w:r>
              <w:rPr>
                <w:rFonts w:ascii="Arial" w:cs="Arial" w:eastAsia="Arial" w:hAnsi="Arial"/>
                <w:sz w:val="18"/>
                <w:szCs w:val="18"/>
                <w:color w:val="auto"/>
              </w:rPr>
              <w:t>Accelerated filer:</w:t>
            </w:r>
          </w:p>
        </w:tc>
        <w:tc>
          <w:tcPr>
            <w:tcW w:w="130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18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240" w:type="dxa"/>
            <w:vAlign w:val="bottom"/>
          </w:tcPr>
          <w:p>
            <w:pPr>
              <w:ind w:left="1080"/>
              <w:spacing w:after="0"/>
              <w:rPr>
                <w:sz w:val="20"/>
                <w:szCs w:val="20"/>
                <w:color w:val="auto"/>
              </w:rPr>
            </w:pPr>
            <w:r>
              <w:rPr>
                <w:rFonts w:ascii="Arial" w:cs="Arial" w:eastAsia="Arial" w:hAnsi="Arial"/>
                <w:sz w:val="18"/>
                <w:szCs w:val="18"/>
                <w:color w:val="auto"/>
              </w:rPr>
              <w:t>Smaller reporting company:</w:t>
            </w:r>
          </w:p>
        </w:tc>
        <w:tc>
          <w:tcPr>
            <w:tcW w:w="130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40" w:type="dxa"/>
            <w:vAlign w:val="bottom"/>
          </w:tcPr>
          <w:p>
            <w:pPr>
              <w:ind w:left="1080"/>
              <w:spacing w:after="0"/>
              <w:rPr>
                <w:sz w:val="20"/>
                <w:szCs w:val="20"/>
                <w:color w:val="auto"/>
              </w:rPr>
            </w:pPr>
            <w:r>
              <w:rPr>
                <w:rFonts w:ascii="Arial" w:cs="Arial" w:eastAsia="Arial" w:hAnsi="Arial"/>
                <w:sz w:val="18"/>
                <w:szCs w:val="18"/>
                <w:color w:val="auto"/>
              </w:rPr>
              <w:t>Emerging growth company:</w:t>
            </w:r>
          </w:p>
        </w:tc>
        <w:tc>
          <w:tcPr>
            <w:tcW w:w="130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10700" w:type="dxa"/>
            <w:vAlign w:val="bottom"/>
          </w:tcPr>
          <w:p>
            <w:pPr>
              <w:spacing w:after="0"/>
              <w:rPr>
                <w:sz w:val="20"/>
                <w:szCs w:val="20"/>
                <w:color w:val="auto"/>
              </w:rPr>
            </w:pPr>
            <w:r>
              <w:rPr>
                <w:rFonts w:ascii="Arial" w:cs="Arial" w:eastAsia="Arial" w:hAnsi="Arial"/>
                <w:sz w:val="18"/>
                <w:szCs w:val="18"/>
                <w:color w:val="auto"/>
                <w:w w:val="93"/>
              </w:rPr>
              <w:t>If an emerging growth company, indicate by check mark if the registrant has elected not to use the extended transition period for complying with</w:t>
            </w:r>
          </w:p>
        </w:tc>
        <w:tc>
          <w:tcPr>
            <w:tcW w:w="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0700" w:type="dxa"/>
            <w:vAlign w:val="bottom"/>
          </w:tcPr>
          <w:p>
            <w:pPr>
              <w:spacing w:after="0"/>
              <w:rPr>
                <w:sz w:val="20"/>
                <w:szCs w:val="20"/>
                <w:color w:val="auto"/>
              </w:rPr>
            </w:pPr>
            <w:r>
              <w:rPr>
                <w:rFonts w:ascii="Arial" w:cs="Arial" w:eastAsia="Arial" w:hAnsi="Arial"/>
                <w:sz w:val="18"/>
                <w:szCs w:val="18"/>
                <w:color w:val="auto"/>
              </w:rPr>
              <w:t>any new or revised financial accounting standards provided pursuant to Section 7(a)(2)(B) of the Securities Act.</w:t>
            </w:r>
          </w:p>
        </w:tc>
        <w:tc>
          <w:tcPr>
            <w:tcW w:w="540" w:type="dxa"/>
            <w:vAlign w:val="bottom"/>
          </w:tcPr>
          <w:p>
            <w:pPr>
              <w:spacing w:after="0"/>
              <w:rPr>
                <w:sz w:val="20"/>
                <w:szCs w:val="20"/>
                <w:color w:val="auto"/>
              </w:rPr>
            </w:pPr>
          </w:p>
        </w:tc>
      </w:tr>
      <w:tr>
        <w:trPr>
          <w:trHeight w:val="666"/>
        </w:trPr>
        <w:tc>
          <w:tcPr>
            <w:tcW w:w="107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40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ALCULATION OF</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EGISTRATION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EE</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6"/>
              </w:rPr>
              <w:t>Proposed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Proposed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9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2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2"/>
              </w:rPr>
              <w:t>maximum</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maximum</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aggregate</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to be</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offering price</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offering</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registration</w:t>
            </w:r>
          </w:p>
        </w:tc>
        <w:tc>
          <w:tcPr>
            <w:tcW w:w="0" w:type="dxa"/>
            <w:vAlign w:val="bottom"/>
          </w:tcPr>
          <w:p>
            <w:pPr>
              <w:spacing w:after="0"/>
              <w:rPr>
                <w:sz w:val="1"/>
                <w:szCs w:val="1"/>
                <w:color w:val="auto"/>
              </w:rPr>
            </w:pPr>
          </w:p>
        </w:tc>
      </w:tr>
      <w:tr>
        <w:trPr>
          <w:trHeight w:val="277"/>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Title of each class of securities to be registered</w:t>
            </w: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4"/>
              </w:rPr>
              <w:t xml:space="preserve">registered </w:t>
            </w:r>
            <w:r>
              <w:rPr>
                <w:rFonts w:ascii="Arial" w:cs="Arial" w:eastAsia="Arial" w:hAnsi="Arial"/>
                <w:sz w:val="29"/>
                <w:szCs w:val="29"/>
                <w:b w:val="1"/>
                <w:bCs w:val="1"/>
                <w:color w:val="auto"/>
                <w:w w:val="84"/>
                <w:vertAlign w:val="superscript"/>
              </w:rPr>
              <w:t>(1)</w:t>
            </w:r>
          </w:p>
        </w:tc>
        <w:tc>
          <w:tcPr>
            <w:tcW w:w="2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10"/>
              <w:spacing w:after="0" w:line="270" w:lineRule="exact"/>
              <w:rPr>
                <w:sz w:val="20"/>
                <w:szCs w:val="20"/>
                <w:color w:val="auto"/>
              </w:rPr>
            </w:pPr>
            <w:r>
              <w:rPr>
                <w:rFonts w:ascii="Arial" w:cs="Arial" w:eastAsia="Arial" w:hAnsi="Arial"/>
                <w:sz w:val="18"/>
                <w:szCs w:val="18"/>
                <w:b w:val="1"/>
                <w:bCs w:val="1"/>
                <w:color w:val="auto"/>
                <w:w w:val="85"/>
              </w:rPr>
              <w:t xml:space="preserve">per share </w:t>
            </w:r>
            <w:r>
              <w:rPr>
                <w:rFonts w:ascii="Arial" w:cs="Arial" w:eastAsia="Arial" w:hAnsi="Arial"/>
                <w:sz w:val="29"/>
                <w:szCs w:val="29"/>
                <w:b w:val="1"/>
                <w:bCs w:val="1"/>
                <w:color w:val="auto"/>
                <w:w w:val="85"/>
                <w:vertAlign w:val="superscript"/>
              </w:rPr>
              <w:t>(2)</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price</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fee</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$0.001 par value</w:t>
            </w:r>
          </w:p>
        </w:tc>
        <w:tc>
          <w:tcPr>
            <w:tcW w:w="34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w:t>
            </w: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   4,270,000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hanging="332"/>
        <w:spacing w:after="0" w:line="229" w:lineRule="auto"/>
        <w:tabs>
          <w:tab w:leader="none" w:pos="340" w:val="left"/>
        </w:tabs>
        <w:numPr>
          <w:ilvl w:val="0"/>
          <w:numId w:val="1"/>
        </w:numPr>
        <w:rPr>
          <w:rFonts w:ascii="Arial" w:cs="Arial" w:eastAsia="Arial" w:hAnsi="Arial"/>
          <w:sz w:val="29"/>
          <w:szCs w:val="29"/>
          <w:color w:val="auto"/>
          <w:vertAlign w:val="superscript"/>
        </w:rPr>
      </w:pPr>
      <w:r>
        <w:rPr>
          <w:rFonts w:ascii="Arial" w:cs="Arial" w:eastAsia="Arial" w:hAnsi="Arial"/>
          <w:sz w:val="17"/>
          <w:szCs w:val="17"/>
          <w:color w:val="auto"/>
        </w:rPr>
        <w:t>This Registration Statement covers an additional 500,000 shares of Common Stock that may be offered or issued pursuant to the Amended and Restated OptimizeRx Corp. 2013 Equity Incentive Plan (the “Plan”). In addition, pursuant to Rule 416(c) under the Securities Act of 1933, as amended (the “Securities Act”), this Registration Statement also covers an indeterminate number of shares of Common Stock that may be offered or issued by reason of stock splits, stock dividends or similar transactions that become issuable under the Plan.</w:t>
      </w:r>
    </w:p>
    <w:p>
      <w:pPr>
        <w:spacing w:after="0" w:line="202" w:lineRule="exact"/>
        <w:rPr>
          <w:rFonts w:ascii="Arial" w:cs="Arial" w:eastAsia="Arial" w:hAnsi="Arial"/>
          <w:sz w:val="29"/>
          <w:szCs w:val="29"/>
          <w:color w:val="auto"/>
          <w:vertAlign w:val="superscript"/>
        </w:rPr>
      </w:pPr>
    </w:p>
    <w:p>
      <w:pPr>
        <w:jc w:val="both"/>
        <w:ind w:left="340" w:right="40" w:hanging="332"/>
        <w:spacing w:after="0" w:line="209" w:lineRule="auto"/>
        <w:tabs>
          <w:tab w:leader="none" w:pos="34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Estimated in accordance with Rule 457(c) promulgated under the Securities Act solely for the purpose of calculating the amount of the registration fee on the basis of the average of the high and low price per share of the Registrant’s Common Stock as reported on the Nasdaq Capital Market on April 7,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This registration statement shall become effective upon filing in accordance with Rule 462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accordance with General Instruction E to Form S-8, this Registration Statement incorporates by reference the contents of Registration Statement No. 333-189439 on Form S-8 filed by OptimizeRx Corp. (the “Company”) on June 19, 2013, the Registration Statement No. 333-210653 on Form S-8 filed by the Company on April 8, 2016 and the Registration Statement No. 333-230212on Form S-8 filed by the Company on March 12, 2019, relating to shares of Common Stock issuable pursuant to the OptimizeRx Corp. 2013 Incentive Plan (as amended and restated, the “Plan”). This Registration Statement, which is being filed to register an additional 500,000 shares of Common Stock made available for issuance pursuant to the Plan, consists of the facing page, this page, other required information, required opinions, consents and other exhibits, and the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 IN THE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EGISTRATION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SEC allows us to “incorporate by reference” the information we file with the SEC. This permits us to disclose important information to you by referring to these filed documents. Any information referred to in this way is considered part of this prospectus supplement. The information incorporated by reference is an important part of this prospectus supplement and the accompanying prospectus, and information that we file later with the SEC will automatically update and supersede this information. We incorporate by reference the following documents that have been filed with the SEC (other than information furnished under Item 2.02, Item 7.01 of Item 8.01 of Form 8-K and all exhibits related to such items):</w:t>
      </w:r>
    </w:p>
    <w:p>
      <w:pPr>
        <w:spacing w:after="0" w:line="17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2019, filed with the SEC on March 26, 2020;</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in our Registration Statement on </w:t>
      </w:r>
      <w:hyperlink r:id="rId15">
        <w:r>
          <w:rPr>
            <w:rFonts w:ascii="Arial" w:cs="Arial" w:eastAsia="Arial" w:hAnsi="Arial"/>
            <w:sz w:val="18"/>
            <w:szCs w:val="18"/>
            <w:u w:val="single" w:color="auto"/>
            <w:color w:val="0000EE"/>
          </w:rPr>
          <w:t>Form S-3/A</w:t>
        </w:r>
      </w:hyperlink>
      <w:r>
        <w:rPr>
          <w:rFonts w:ascii="Arial" w:cs="Arial" w:eastAsia="Arial" w:hAnsi="Arial"/>
          <w:sz w:val="18"/>
          <w:szCs w:val="18"/>
          <w:color w:val="auto"/>
        </w:rPr>
        <w:t>, filed with the SEC on December 11, 2018, including any amendment or reports filed for the purpose of updating such description.</w:t>
      </w:r>
    </w:p>
    <w:p>
      <w:pPr>
        <w:spacing w:after="0" w:line="170" w:lineRule="exact"/>
        <w:rPr>
          <w:rFonts w:ascii="Arial" w:cs="Arial" w:eastAsia="Arial" w:hAnsi="Arial"/>
          <w:sz w:val="18"/>
          <w:szCs w:val="18"/>
          <w:color w:val="auto"/>
        </w:rPr>
      </w:pPr>
    </w:p>
    <w:p>
      <w:pPr>
        <w:ind w:firstLine="648"/>
        <w:spacing w:after="0" w:line="257" w:lineRule="auto"/>
        <w:rPr>
          <w:sz w:val="20"/>
          <w:szCs w:val="20"/>
          <w:color w:val="auto"/>
        </w:rPr>
      </w:pPr>
      <w:r>
        <w:rPr>
          <w:rFonts w:ascii="Arial" w:cs="Arial" w:eastAsia="Arial" w:hAnsi="Arial"/>
          <w:sz w:val="18"/>
          <w:szCs w:val="18"/>
          <w:color w:val="auto"/>
        </w:rPr>
        <w:t>In addition, all other documents filed (not furnished) by us pursuant to Section 13(a), Section 13(c), Section 14 or Section 15(d) of the Exchange Act on or after the date of this reoffer prospectus and prior to the termination of this offering, shall be deemed to be incorporated by reference into this reoffer prospectus and to be a part of this reoffer prospectus from the date of the filing of such documents; provided, however, that documents or information deemed to have been furnished to and not filed with the SEC in accordance with the rules of the SEC shall not be deemed incorporated by reference into this reoffer prospectus.</w:t>
      </w:r>
    </w:p>
    <w:p>
      <w:pPr>
        <w:spacing w:after="0" w:line="188" w:lineRule="exact"/>
        <w:rPr>
          <w:rFonts w:ascii="Arial" w:cs="Arial" w:eastAsia="Arial" w:hAnsi="Arial"/>
          <w:sz w:val="18"/>
          <w:szCs w:val="18"/>
          <w:color w:val="auto"/>
        </w:rPr>
      </w:pPr>
    </w:p>
    <w:p>
      <w:pPr>
        <w:ind w:right="60" w:firstLine="648"/>
        <w:spacing w:after="0" w:line="263" w:lineRule="auto"/>
        <w:rPr>
          <w:sz w:val="20"/>
          <w:szCs w:val="20"/>
          <w:color w:val="auto"/>
        </w:rPr>
      </w:pPr>
      <w:r>
        <w:rPr>
          <w:rFonts w:ascii="Arial" w:cs="Arial" w:eastAsia="Arial" w:hAnsi="Arial"/>
          <w:sz w:val="18"/>
          <w:szCs w:val="18"/>
          <w:color w:val="auto"/>
        </w:rPr>
        <w:t>Any information in any of the foregoing documents will automatically be deemed to be modified or superseded to the extent that information in this prospectus supplement and the accompanying prospectus or in a later filed document that is incorporated or deemed to be incorporated herein by reference modifies or replaces such information.</w:t>
      </w:r>
    </w:p>
    <w:p>
      <w:pPr>
        <w:spacing w:after="0" w:line="184" w:lineRule="exact"/>
        <w:rPr>
          <w:rFonts w:ascii="Arial" w:cs="Arial" w:eastAsia="Arial" w:hAnsi="Arial"/>
          <w:sz w:val="18"/>
          <w:szCs w:val="18"/>
          <w:color w:val="auto"/>
        </w:rPr>
      </w:pPr>
    </w:p>
    <w:p>
      <w:pPr>
        <w:ind w:right="20" w:firstLine="648"/>
        <w:spacing w:after="0" w:line="263" w:lineRule="auto"/>
        <w:rPr>
          <w:sz w:val="20"/>
          <w:szCs w:val="20"/>
          <w:color w:val="auto"/>
        </w:rPr>
      </w:pPr>
      <w:r>
        <w:rPr>
          <w:rFonts w:ascii="Arial" w:cs="Arial" w:eastAsia="Arial" w:hAnsi="Arial"/>
          <w:sz w:val="18"/>
          <w:szCs w:val="18"/>
          <w:color w:val="auto"/>
        </w:rPr>
        <w:t>You may request, orally or in writing, a copy of these documents, which will be provided to you at no cost (other than exhibits, unless such exhibits are specifically incorporate by reference), by contacting Douglas Baker, c/o OptimizeRx Corporation., at 400 Water Street, Suite 200, Rochester, MI 48307. Our telephone number is (248) 651-6568.</w:t>
      </w:r>
    </w:p>
    <w:p>
      <w:pPr>
        <w:spacing w:after="0" w:line="18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8. Exhibits.</w:t>
      </w:r>
    </w:p>
    <w:p>
      <w:pPr>
        <w:sectPr>
          <w:pgSz w:w="11900" w:h="16838" w:orient="portrait"/>
          <w:cols w:equalWidth="0" w:num="1">
            <w:col w:w="11060"/>
          </w:cols>
          <w:pgMar w:left="320" w:top="904" w:right="519" w:bottom="1440" w:gutter="0" w:footer="0" w:header="0"/>
        </w:sectPr>
      </w:pPr>
    </w:p>
    <w:p>
      <w:pPr>
        <w:spacing w:after="0" w:line="225" w:lineRule="exact"/>
        <w:rPr>
          <w:rFonts w:ascii="Arial" w:cs="Arial" w:eastAsia="Arial" w:hAnsi="Arial"/>
          <w:sz w:val="18"/>
          <w:szCs w:val="18"/>
          <w:color w:val="auto"/>
        </w:rPr>
      </w:pPr>
    </w:p>
    <w:p>
      <w:pPr>
        <w:spacing w:after="0" w:line="301" w:lineRule="auto"/>
        <w:rPr>
          <w:sz w:val="20"/>
          <w:szCs w:val="20"/>
          <w:color w:val="auto"/>
        </w:rPr>
      </w:pPr>
      <w:r>
        <w:rPr>
          <w:rFonts w:ascii="Arial" w:cs="Arial" w:eastAsia="Arial" w:hAnsi="Arial"/>
          <w:sz w:val="16"/>
          <w:szCs w:val="16"/>
          <w:b w:val="1"/>
          <w:bCs w:val="1"/>
          <w:color w:val="auto"/>
        </w:rPr>
        <w:t>Exhibit Number</w:t>
      </w:r>
    </w:p>
    <w:p>
      <w:pPr>
        <w:spacing w:after="0" w:line="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4.1</w:t>
      </w:r>
    </w:p>
    <w:p>
      <w:pPr>
        <w:spacing w:after="0" w:line="5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4.2</w:t>
      </w:r>
    </w:p>
    <w:p>
      <w:pPr>
        <w:spacing w:after="0" w:line="5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4.3</w:t>
      </w:r>
    </w:p>
    <w:p>
      <w:pPr>
        <w:spacing w:after="0" w:line="5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5.1**</w:t>
      </w:r>
    </w:p>
    <w:p>
      <w:pPr>
        <w:spacing w:after="0" w:line="2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23.1**</w:t>
      </w:r>
    </w:p>
    <w:p>
      <w:pPr>
        <w:spacing w:after="0" w:line="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23.2**</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2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-641985</wp:posOffset>
            </wp:positionH>
            <wp:positionV relativeFrom="paragraph">
              <wp:posOffset>17145</wp:posOffset>
            </wp:positionV>
            <wp:extent cx="71323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rPr>
          <w:rFonts w:ascii="Arial" w:cs="Arial" w:eastAsia="Arial" w:hAnsi="Arial"/>
          <w:sz w:val="16"/>
          <w:szCs w:val="16"/>
          <w:u w:val="single" w:color="auto"/>
          <w:color w:val="0000EE"/>
        </w:rPr>
      </w:pPr>
      <w:hyperlink r:id="rId17">
        <w:r>
          <w:rPr>
            <w:rFonts w:ascii="Arial" w:cs="Arial" w:eastAsia="Arial" w:hAnsi="Arial"/>
            <w:sz w:val="16"/>
            <w:szCs w:val="16"/>
            <w:u w:val="single" w:color="auto"/>
            <w:color w:val="0000EE"/>
          </w:rPr>
          <w:t>Articles of Incorporation of OptimizeRx Corporation (the “Company”)</w:t>
        </w:r>
        <w:r>
          <w:rPr>
            <w:rFonts w:ascii="Arial" w:cs="Arial" w:eastAsia="Arial" w:hAnsi="Arial"/>
            <w:sz w:val="26"/>
            <w:szCs w:val="26"/>
            <w:u w:val="single" w:color="auto"/>
            <w:color w:val="0000EE"/>
            <w:vertAlign w:val="superscript"/>
          </w:rPr>
          <w:t>1</w:t>
        </w:r>
      </w:hyperlink>
    </w:p>
    <w:p>
      <w:pPr>
        <w:spacing w:after="0" w:line="184" w:lineRule="auto"/>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Amended and Restated Bylaws of the Company</w:t>
        </w:r>
        <w:r>
          <w:rPr>
            <w:rFonts w:ascii="Arial" w:cs="Arial" w:eastAsia="Arial" w:hAnsi="Arial"/>
            <w:sz w:val="29"/>
            <w:szCs w:val="29"/>
            <w:u w:val="single" w:color="auto"/>
            <w:color w:val="0000EE"/>
            <w:vertAlign w:val="superscript"/>
          </w:rPr>
          <w:t>2</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-641985</wp:posOffset>
            </wp:positionH>
            <wp:positionV relativeFrom="paragraph">
              <wp:posOffset>0</wp:posOffset>
            </wp:positionV>
            <wp:extent cx="71323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5" w:lineRule="auto"/>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Fourth Amended and Restated 2013 Equity Incentive Plan</w:t>
        </w:r>
        <w:r>
          <w:rPr>
            <w:rFonts w:ascii="Arial" w:cs="Arial" w:eastAsia="Arial" w:hAnsi="Arial"/>
            <w:sz w:val="29"/>
            <w:szCs w:val="29"/>
            <w:u w:val="single" w:color="auto"/>
            <w:color w:val="0000EE"/>
            <w:vertAlign w:val="superscript"/>
          </w:rPr>
          <w:t>3</w:t>
        </w:r>
      </w:hyperlink>
    </w:p>
    <w:p>
      <w:pPr>
        <w:spacing w:after="0" w:line="1" w:lineRule="exact"/>
        <w:rPr>
          <w:rFonts w:ascii="Arial" w:cs="Arial" w:eastAsia="Arial" w:hAnsi="Arial"/>
          <w:sz w:val="18"/>
          <w:szCs w:val="18"/>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The Doney Law Firm Opinion and consent to use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-641985</wp:posOffset>
            </wp:positionH>
            <wp:positionV relativeFrom="paragraph">
              <wp:posOffset>4445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Consent of Marcum LLP</w:t>
        </w:r>
      </w:hyperlink>
    </w:p>
    <w:p>
      <w:pPr>
        <w:spacing w:after="0" w:line="9" w:lineRule="exact"/>
        <w:rPr>
          <w:rFonts w:ascii="Arial" w:cs="Arial" w:eastAsia="Arial" w:hAnsi="Arial"/>
          <w:sz w:val="18"/>
          <w:szCs w:val="18"/>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Consent of Sadler, Gibb &amp; Associates, LLC</w:t>
        </w:r>
      </w:hyperlink>
    </w:p>
    <w:p>
      <w:pPr>
        <w:spacing w:after="0" w:line="131" w:lineRule="exact"/>
        <w:rPr>
          <w:rFonts w:ascii="Arial" w:cs="Arial" w:eastAsia="Arial" w:hAnsi="Arial"/>
          <w:sz w:val="18"/>
          <w:szCs w:val="18"/>
          <w:color w:val="auto"/>
        </w:rPr>
      </w:pPr>
    </w:p>
    <w:p>
      <w:pPr>
        <w:sectPr>
          <w:pgSz w:w="11900" w:h="16838" w:orient="portrait"/>
          <w:cols w:equalWidth="0" w:num="2">
            <w:col w:w="640" w:space="380"/>
            <w:col w:w="10040"/>
          </w:cols>
          <w:pgMar w:left="320" w:top="904" w:right="519" w:bottom="1440" w:gutter="0" w:footer="0" w:header="0"/>
          <w:type w:val="continuous"/>
        </w:sectPr>
      </w:pPr>
    </w:p>
    <w:p>
      <w:pPr>
        <w:ind w:left="340" w:hanging="332"/>
        <w:spacing w:after="0"/>
        <w:tabs>
          <w:tab w:leader="none" w:pos="340" w:val="left"/>
        </w:tabs>
        <w:numPr>
          <w:ilvl w:val="0"/>
          <w:numId w:val="3"/>
        </w:numPr>
        <w:rPr>
          <w:rFonts w:ascii="Arial" w:cs="Arial" w:eastAsia="Arial" w:hAnsi="Arial"/>
          <w:sz w:val="27"/>
          <w:szCs w:val="27"/>
          <w:color w:val="auto"/>
          <w:vertAlign w:val="superscript"/>
        </w:rPr>
      </w:pPr>
      <w:r>
        <w:rPr>
          <w:rFonts w:ascii="Arial" w:cs="Arial" w:eastAsia="Arial" w:hAnsi="Arial"/>
          <w:sz w:val="16"/>
          <w:szCs w:val="16"/>
          <w:color w:val="auto"/>
        </w:rPr>
        <w:t>Incorporated by reference to the Form S-1, filed by the Company with the Securities and Exchange Commission on November 12, 2008.</w:t>
      </w:r>
    </w:p>
    <w:p>
      <w:pPr>
        <w:ind w:left="340" w:hanging="332"/>
        <w:spacing w:after="0" w:line="180"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5"/>
          <w:szCs w:val="15"/>
          <w:color w:val="auto"/>
        </w:rPr>
        <w:t>Incorporated by reference to the Form 8-K, filed by the Company with the Securities and Exchange Commission on July 16, 2010.</w:t>
      </w:r>
    </w:p>
    <w:p>
      <w:pPr>
        <w:spacing w:after="0" w:line="2" w:lineRule="exact"/>
        <w:rPr>
          <w:rFonts w:ascii="Arial" w:cs="Arial" w:eastAsia="Arial" w:hAnsi="Arial"/>
          <w:sz w:val="18"/>
          <w:szCs w:val="18"/>
          <w:color w:val="auto"/>
        </w:rPr>
      </w:pPr>
    </w:p>
    <w:p>
      <w:pPr>
        <w:ind w:right="1060" w:firstLine="8"/>
        <w:spacing w:after="0" w:line="187" w:lineRule="auto"/>
        <w:tabs>
          <w:tab w:leader="none" w:pos="324"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Form 10-K, filed by the Company with the Securities and Exchange Commission on March 26, 2020. ** provided herewith</w:t>
      </w: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22"/>
          <w:szCs w:val="22"/>
          <w:color w:val="auto"/>
        </w:rPr>
        <w:t>II-1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900" w:hanging="244"/>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to:</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 any Prospectus required by Section 10(a)(3) of the Securities Act of 1933, as amended;</w:t>
      </w:r>
    </w:p>
    <w:p>
      <w:pPr>
        <w:spacing w:after="0" w:line="225" w:lineRule="exact"/>
        <w:rPr>
          <w:rFonts w:ascii="Arial" w:cs="Arial" w:eastAsia="Arial" w:hAnsi="Arial"/>
          <w:sz w:val="18"/>
          <w:szCs w:val="18"/>
          <w:color w:val="auto"/>
        </w:rPr>
      </w:pPr>
    </w:p>
    <w:p>
      <w:pPr>
        <w:ind w:firstLine="8"/>
        <w:spacing w:after="0" w:line="293"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40" w:firstLine="8"/>
        <w:spacing w:after="0" w:line="277"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ind w:right="80" w:firstLine="656"/>
        <w:spacing w:after="0" w:line="263"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right="660" w:firstLine="65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 purposes of determining liability under the Securities Act of 1933 to any purchaser:</w:t>
      </w:r>
    </w:p>
    <w:p>
      <w:pPr>
        <w:spacing w:after="0" w:line="225" w:lineRule="exact"/>
        <w:rPr>
          <w:sz w:val="20"/>
          <w:szCs w:val="20"/>
          <w:color w:val="auto"/>
        </w:rPr>
      </w:pPr>
    </w:p>
    <w:p>
      <w:pPr>
        <w:ind w:right="160" w:firstLine="8"/>
        <w:spacing w:after="0" w:line="254"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4" w:lineRule="exact"/>
        <w:rPr>
          <w:rFonts w:ascii="Arial" w:cs="Arial" w:eastAsia="Arial" w:hAnsi="Arial"/>
          <w:sz w:val="18"/>
          <w:szCs w:val="18"/>
          <w:color w:val="auto"/>
        </w:rPr>
      </w:pPr>
    </w:p>
    <w:p>
      <w:pPr>
        <w:ind w:left="900" w:hanging="244"/>
        <w:spacing w:after="0"/>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5" w:lineRule="exact"/>
        <w:rPr>
          <w:rFonts w:ascii="Arial" w:cs="Arial" w:eastAsia="Arial" w:hAnsi="Arial"/>
          <w:sz w:val="18"/>
          <w:szCs w:val="18"/>
          <w:color w:val="auto"/>
        </w:rPr>
      </w:pPr>
    </w:p>
    <w:p>
      <w:pPr>
        <w:ind w:right="380" w:firstLine="8"/>
        <w:spacing w:after="0" w:line="277"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right="680" w:firstLine="8"/>
        <w:spacing w:after="0" w:line="277" w:lineRule="auto"/>
        <w:tabs>
          <w:tab w:leader="none" w:pos="31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described under Item 24 above,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In accordance with the requirements of the Securities Act of 1933, the registrant certifies that it has reasonable grounds to believe that it meets all of the requirements to a filing on Form S-8 and authorized this filing to be signed on its behalf by the undersigned, thereunto duly authorized, in the City of Rochester, Michigan on April 10, 2020.</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William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 and Director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KNOW ALL MEN BY THESE PRESENTS, that the undersigned officers and directors of the Company, hereby constitute and appoint William Febbo and Doug Baker and each of them, the true and lawful agents and attorneys-in-fact of the undersigned with full power and authority in said agents and attorneys-in-fact, and in any one or more of them, to sign for the undersigned and in their respective names as an officer/director of the Company, a registration statement on Form S-8 (or other appropriate form) relating to the offer and sale of common stock of the Company pursuant to the Plans (or any and all amendments, including post-effective amendments, to such registration statement) and file the same, with all exhibits thereto and other documents in connection therewith, with the Securities and Exchange Commission, and with full power of substitution; hereby ratifying and confirming all that each of said attorneys-in-fact, or his substitute or substitutes, may do or cause to be done by virtue hereof.</w:t>
      </w:r>
    </w:p>
    <w:p>
      <w:pPr>
        <w:spacing w:after="0" w:line="17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Febbo</w:t>
            </w:r>
          </w:p>
        </w:tc>
        <w:tc>
          <w:tcPr>
            <w:tcW w:w="47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3760" w:type="dxa"/>
            <w:vAlign w:val="bottom"/>
          </w:tcPr>
          <w:p>
            <w:pPr>
              <w:ind w:left="1420"/>
              <w:spacing w:after="0"/>
              <w:rPr>
                <w:sz w:val="20"/>
                <w:szCs w:val="20"/>
                <w:color w:val="auto"/>
              </w:rPr>
            </w:pPr>
            <w:r>
              <w:rPr>
                <w:rFonts w:ascii="Arial" w:cs="Arial" w:eastAsia="Arial" w:hAnsi="Arial"/>
                <w:sz w:val="18"/>
                <w:szCs w:val="18"/>
                <w:color w:val="auto"/>
              </w:rPr>
              <w:t>April 10, 2020</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William Febbo</w:t>
            </w: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(Principal Executive Officer) and Director</w:t>
            </w:r>
          </w:p>
        </w:tc>
        <w:tc>
          <w:tcPr>
            <w:tcW w:w="3760" w:type="dxa"/>
            <w:vAlign w:val="bottom"/>
          </w:tcPr>
          <w:p>
            <w:pPr>
              <w:spacing w:after="0"/>
              <w:rPr>
                <w:sz w:val="20"/>
                <w:szCs w:val="20"/>
                <w:color w:val="auto"/>
              </w:rPr>
            </w:pPr>
          </w:p>
        </w:tc>
      </w:tr>
      <w:tr>
        <w:trPr>
          <w:trHeight w:val="438"/>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 Baker</w:t>
            </w:r>
          </w:p>
        </w:tc>
        <w:tc>
          <w:tcPr>
            <w:tcW w:w="47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3760" w:type="dxa"/>
            <w:vAlign w:val="bottom"/>
          </w:tcPr>
          <w:p>
            <w:pPr>
              <w:ind w:left="1420"/>
              <w:spacing w:after="0"/>
              <w:rPr>
                <w:sz w:val="20"/>
                <w:szCs w:val="20"/>
                <w:color w:val="auto"/>
              </w:rPr>
            </w:pPr>
            <w:r>
              <w:rPr>
                <w:rFonts w:ascii="Arial" w:cs="Arial" w:eastAsia="Arial" w:hAnsi="Arial"/>
                <w:sz w:val="18"/>
                <w:szCs w:val="18"/>
                <w:color w:val="auto"/>
              </w:rPr>
              <w:t>April 10, 2020</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Doug Baker</w:t>
            </w: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3760" w:type="dxa"/>
            <w:vAlign w:val="bottom"/>
          </w:tcPr>
          <w:p>
            <w:pPr>
              <w:spacing w:after="0"/>
              <w:rPr>
                <w:sz w:val="20"/>
                <w:szCs w:val="20"/>
                <w:color w:val="auto"/>
              </w:rPr>
            </w:pPr>
          </w:p>
        </w:tc>
      </w:tr>
      <w:tr>
        <w:trPr>
          <w:trHeight w:val="438"/>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Vos</w:t>
            </w:r>
          </w:p>
        </w:tc>
        <w:tc>
          <w:tcPr>
            <w:tcW w:w="4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760" w:type="dxa"/>
            <w:vAlign w:val="bottom"/>
          </w:tcPr>
          <w:p>
            <w:pPr>
              <w:ind w:left="1420"/>
              <w:spacing w:after="0"/>
              <w:rPr>
                <w:sz w:val="20"/>
                <w:szCs w:val="20"/>
                <w:color w:val="auto"/>
              </w:rPr>
            </w:pPr>
            <w:r>
              <w:rPr>
                <w:rFonts w:ascii="Arial" w:cs="Arial" w:eastAsia="Arial" w:hAnsi="Arial"/>
                <w:sz w:val="18"/>
                <w:szCs w:val="18"/>
                <w:color w:val="auto"/>
              </w:rPr>
              <w:t>April 10, 2020</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Lynn Vos</w:t>
            </w:r>
          </w:p>
        </w:tc>
        <w:tc>
          <w:tcPr>
            <w:tcW w:w="47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8"/>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Spangler</w:t>
            </w:r>
          </w:p>
        </w:tc>
        <w:tc>
          <w:tcPr>
            <w:tcW w:w="4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760" w:type="dxa"/>
            <w:vAlign w:val="bottom"/>
          </w:tcPr>
          <w:p>
            <w:pPr>
              <w:ind w:left="1420"/>
              <w:spacing w:after="0"/>
              <w:rPr>
                <w:sz w:val="20"/>
                <w:szCs w:val="20"/>
                <w:color w:val="auto"/>
              </w:rPr>
            </w:pPr>
            <w:r>
              <w:rPr>
                <w:rFonts w:ascii="Arial" w:cs="Arial" w:eastAsia="Arial" w:hAnsi="Arial"/>
                <w:sz w:val="18"/>
                <w:szCs w:val="18"/>
                <w:color w:val="auto"/>
              </w:rPr>
              <w:t>April 10, 2020</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Patrick Spangler</w:t>
            </w:r>
          </w:p>
        </w:tc>
        <w:tc>
          <w:tcPr>
            <w:tcW w:w="47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8"/>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Lang</w:t>
            </w:r>
          </w:p>
        </w:tc>
        <w:tc>
          <w:tcPr>
            <w:tcW w:w="4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760" w:type="dxa"/>
            <w:vAlign w:val="bottom"/>
          </w:tcPr>
          <w:p>
            <w:pPr>
              <w:ind w:left="1420"/>
              <w:spacing w:after="0"/>
              <w:rPr>
                <w:sz w:val="20"/>
                <w:szCs w:val="20"/>
                <w:color w:val="auto"/>
              </w:rPr>
            </w:pPr>
            <w:r>
              <w:rPr>
                <w:rFonts w:ascii="Arial" w:cs="Arial" w:eastAsia="Arial" w:hAnsi="Arial"/>
                <w:sz w:val="18"/>
                <w:szCs w:val="18"/>
                <w:color w:val="auto"/>
              </w:rPr>
              <w:t>April 10, 2020</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James Lang</w:t>
            </w:r>
          </w:p>
        </w:tc>
        <w:tc>
          <w:tcPr>
            <w:tcW w:w="47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8"/>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Gus D. Halas</w:t>
            </w:r>
          </w:p>
        </w:tc>
        <w:tc>
          <w:tcPr>
            <w:tcW w:w="4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760" w:type="dxa"/>
            <w:vAlign w:val="bottom"/>
          </w:tcPr>
          <w:p>
            <w:pPr>
              <w:ind w:left="1420"/>
              <w:spacing w:after="0"/>
              <w:rPr>
                <w:sz w:val="20"/>
                <w:szCs w:val="20"/>
                <w:color w:val="auto"/>
              </w:rPr>
            </w:pPr>
            <w:r>
              <w:rPr>
                <w:rFonts w:ascii="Arial" w:cs="Arial" w:eastAsia="Arial" w:hAnsi="Arial"/>
                <w:sz w:val="18"/>
                <w:szCs w:val="18"/>
                <w:color w:val="auto"/>
              </w:rPr>
              <w:t>April 10, 2020</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Gus D. Halas</w:t>
            </w:r>
          </w:p>
        </w:tc>
        <w:tc>
          <w:tcPr>
            <w:tcW w:w="47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641"/>
        </w:trPr>
        <w:tc>
          <w:tcPr>
            <w:tcW w:w="27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ind w:left="2780"/>
              <w:spacing w:after="0"/>
              <w:rPr>
                <w:sz w:val="20"/>
                <w:szCs w:val="20"/>
                <w:color w:val="auto"/>
              </w:rPr>
            </w:pPr>
            <w:r>
              <w:rPr>
                <w:rFonts w:ascii="Arial" w:cs="Arial" w:eastAsia="Arial" w:hAnsi="Arial"/>
                <w:sz w:val="18"/>
                <w:szCs w:val="18"/>
                <w:color w:val="auto"/>
              </w:rPr>
              <w:t>II-3</w:t>
            </w: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ind w:left="10240"/>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187960</wp:posOffset>
            </wp:positionV>
            <wp:extent cx="5803265" cy="8826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803265"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April 10,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OptimizeRx Corp.,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acted as counsel for OptimizeRx Corp., a Nevada corporation (the “Company”), in connection with the preparation of the registration statement on Form S-8 (the “Registration Statement”) to be filed with the Securities and Exchange Commission (the “Commission”) pursuant to the Securities Act of 1933, as amended (the “Act”), relating to the offering of 500,000 shares of the Company’s common stock (the “Shares”), which may be issued pursuant to the Company’s Fourth Amended and Restated 2013 Equity Incentive Plan (the “Plan”).</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rendering the opinion set forth below, we have reviewed: (a) the Registration Statement and the exhibits attached thereto; (b) the Company’s Articles of Incorporation, as amended; (c) the Company’s Bylaws, as amended; (d) certain records of the Company’s corporate proceedings as reflected in its minute books including resolutions of the board of directors approving the Plan; (e) the Plan; and (f) such statutes, records and other documents as we have deemed relevant. In our examination, we have assumed the genuineness of all signatures, the authenticity of all documents submitted to us as originals, and conformity with the originals of all documents submitted to us as copies thereof.</w:t>
      </w:r>
    </w:p>
    <w:p>
      <w:pPr>
        <w:spacing w:after="0" w:line="17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Based upon the foregoing, we are of the opinion that the Shares have been validly authorized, and when the Registration Statement has become effective under the Act, such Shares will, when issued pursuant to the terms of the Plan, be legally issued, fully paid and non-assessable shares of the Company’s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CONSENT to the inclusion of our name and use of our opinion in connection with the Form S-8 Registration Statement filed with the Securities and Exchange Commission as counsel for the registrant, OptimizeRx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908" w:right="8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consent to the incorporation by reference in this Registration Statement of OptimizeRx Corporation on Form S-8 of our report dated March 26, 2020, with respect to our audit of the consolidated financial statements of OptimizeRx Corporation and Subsidiaries as of December 31, 2019 and for the year then ended and our report dated March 26, 2020 with respect to our audit of the effectiveness of internal control over financial reporting of OptimizeRx Corporation and Subsidiaries as of December 31, 2019 appearing in the Annual Report on Form 10-K of OptimizeRx Corporation for the year ended December 31, 2019</w:t>
      </w:r>
    </w:p>
    <w:p>
      <w:pPr>
        <w:spacing w:after="0" w:line="18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Our report on the consolidated financial statements refers to a change in the Company’s method of accounting for leases in 2019 due to the adoption of ASU No. 2016-02, Leases (Topic 842), as amended, effective January 1, 2019, using the modified retrospective approach.</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Our report on the effectiveness of internal control over financial reporting expressed an adverse opinion because of the existence of material weaknesses.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10, 2020</w:t>
      </w:r>
    </w:p>
    <w:p>
      <w:pPr>
        <w:sectPr>
          <w:pgSz w:w="11900" w:h="16838" w:orient="portrait"/>
          <w:cols w:equalWidth="0" w:num="1">
            <w:col w:w="11240"/>
          </w:cols>
          <w:pgMar w:left="320" w:top="11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1954530" cy="1028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95453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March 12, 2019, with respect to the consolidated financial statements of OptimizeRx Corp. for the year ended December 31, 2018, included in its Annual Report (Form 10-K)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1765935"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7659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SADLER, GIBB AND ASSOCIATES,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10, 2020</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Roman"/>
      <w:start w:val="1"/>
    </w:lvl>
    <w:lvl w:ilvl="1">
      <w:lvlJc w:val="left"/>
      <w:lvlText w:val="(%2)"/>
      <w:numFmt w:val="decimal"/>
      <w:start w:val="1"/>
    </w:lvl>
  </w:abstractNum>
  <w:abstractNum w:abstractNumId="6">
    <w:nsid w:val="7545E146"/>
    <w:multiLevelType w:val="hybridMultilevel"/>
    <w:lvl w:ilvl="0">
      <w:lvlJc w:val="left"/>
      <w:lvlText w:val="(%1)"/>
      <w:numFmt w:val="lowerRoman"/>
      <w:start w:val="1"/>
    </w:lvl>
    <w:lvl w:ilvl="1">
      <w:lvlJc w:val="left"/>
      <w:lvlText w:val="(%2)"/>
      <w:numFmt w:val="decimal"/>
      <w:start w:val="2"/>
    </w:lvl>
  </w:abstractNum>
  <w:abstractNum w:abstractNumId="7">
    <w:nsid w:val="515F007C"/>
    <w:multiLevelType w:val="hybridMultilevel"/>
    <w:lvl w:ilvl="0">
      <w:lvlJc w:val="left"/>
      <w:lvlText w:val="(%1)"/>
      <w:numFmt w:val="lowerRoman"/>
      <w:start w:val="1"/>
    </w:lvl>
    <w:lvl w:ilvl="1">
      <w:lvlJc w:val="left"/>
      <w:lvlText w:val="(%2)"/>
      <w:numFmt w:val="decimal"/>
      <w:start w:val="5"/>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jpe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jpeg"/><Relationship Id="rId33" Type="http://schemas.openxmlformats.org/officeDocument/2006/relationships/image" Target="media/image21.jpeg"/><Relationship Id="rId14" Type="http://schemas.openxmlformats.org/officeDocument/2006/relationships/hyperlink" Target="http://www.sec.gov/Archives/edgar/data/1448431/000121390020007491/f10k2019_optimizerxcorp.htm" TargetMode="External"/><Relationship Id="rId15" Type="http://schemas.openxmlformats.org/officeDocument/2006/relationships/hyperlink" Target="http://www.sec.gov/Archives/edgar/data/1448431/000121390018017172/fs32018a1_optimizerx.htm" TargetMode="External"/><Relationship Id="rId17" Type="http://schemas.openxmlformats.org/officeDocument/2006/relationships/hyperlink" Target="http://www.sec.gov/Archives/edgar/data/1448431/000136110608000414/optimizerx_s1-ex0301.htm" TargetMode="External"/><Relationship Id="rId18" Type="http://schemas.openxmlformats.org/officeDocument/2006/relationships/hyperlink" Target="http://www.sec.gov/Archives/edgar/data/1448431/000125529410000605/ex3_1.htm" TargetMode="External"/><Relationship Id="rId20" Type="http://schemas.openxmlformats.org/officeDocument/2006/relationships/hyperlink" Target="http://www.sec.gov/Archives/edgar/data/1448431/000121390020006161/ea119535ex10-1_optimiz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2020-04-10T11:17:26Z</dcterms:created>
  <dcterms:modified xsi:type="dcterms:W3CDTF">2020-04-10T11:17:26Z</dcterms:modified>
</cp:coreProperties>
</file>